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Fonts w:hint="cs"/>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trPr>
          <w:trHeight w:val="295"/>
          <w:jc w:val="center"/>
        </w:trPr>
        <w:tc>
          <w:tcPr>
            <w:tcW w:w="5049" w:type="dxa"/>
            <w:gridSpan w:val="3"/>
          </w:tcPr>
          <w:p w:rsidR="00694556" w:rsidRDefault="00694556">
            <w:pPr>
              <w:rPr>
                <w:rFonts w:ascii="Arial" w:hAnsi="Arial"/>
                <w:b/>
                <w:bCs/>
                <w:noProof w:val="0"/>
                <w:sz w:val="26"/>
                <w:szCs w:val="26"/>
                <w:rtl/>
              </w:rPr>
            </w:pPr>
          </w:p>
        </w:tc>
        <w:tc>
          <w:tcPr>
            <w:tcW w:w="3771" w:type="dxa"/>
          </w:tcPr>
          <w:p w:rsidR="00694556" w:rsidRDefault="00005C8B"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859657550"/>
                <w:text w:multiLine="1"/>
              </w:sdtPr>
              <w:sdtEndPr/>
              <w:sdtContent>
                <w:r>
                  <w:rPr>
                    <w:rFonts w:ascii="Arial" w:hAnsi="Arial"/>
                    <w:b/>
                    <w:bCs/>
                    <w:noProof w:val="0"/>
                    <w:sz w:val="32"/>
                    <w:szCs w:val="32"/>
                    <w:rtl/>
                  </w:rPr>
                  <w:t>3</w:t>
                </w:r>
              </w:sdtContent>
            </w:sdt>
          </w:p>
        </w:tc>
      </w:tr>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AA747B" w:rsidRDefault="00536548">
                <w:pPr>
                  <w:bidi w:val="0"/>
                  <w:jc w:val="right"/>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694556" w:rsidRDefault="00694556">
            <w:pPr>
              <w:rPr>
                <w:rFonts w:ascii="Arial" w:hAnsi="Arial"/>
                <w:b/>
                <w:bCs/>
                <w:noProof w:val="0"/>
                <w:sz w:val="26"/>
                <w:szCs w:val="26"/>
                <w:rtl/>
              </w:rPr>
            </w:pPr>
          </w:p>
          <w:p w:rsidR="00694556" w:rsidRDefault="00DD5562" w:rsidP="00705041">
            <w:pPr>
              <w:rPr>
                <w:b/>
                <w:bCs/>
                <w:noProof w:val="0"/>
                <w:sz w:val="26"/>
                <w:szCs w:val="26"/>
              </w:rPr>
            </w:pPr>
            <w:sdt>
              <w:sdtPr>
                <w:rPr>
                  <w:b/>
                  <w:bCs/>
                  <w:rtl/>
                </w:rPr>
                <w:alias w:val="1478"/>
                <w:tag w:val="1478"/>
                <w:id w:val="179403134"/>
                <w:text w:multiLine="1"/>
              </w:sdtPr>
              <w:sdtEndPr/>
              <w:sdtContent>
                <w:r w:rsidR="00705041">
                  <w:rPr>
                    <w:rFonts w:hint="cs"/>
                    <w:b/>
                    <w:bCs/>
                    <w:rtl/>
                  </w:rPr>
                  <w:t>פלונית</w:t>
                </w:r>
              </w:sdtContent>
            </w:sdt>
            <w:r w:rsidR="00D16D92">
              <w:rPr>
                <w:rFonts w:hint="cs"/>
                <w:rtl/>
              </w:rPr>
              <w:t xml:space="preserve"> </w:t>
            </w:r>
            <w:sdt>
              <w:sdtPr>
                <w:rPr>
                  <w:rFonts w:hint="cs"/>
                  <w:rtl/>
                </w:rPr>
                <w:alias w:val="2315"/>
                <w:tag w:val="2315"/>
                <w:id w:val="1409119326"/>
                <w:showingPlcHdr/>
                <w:text w:multiLine="1"/>
              </w:sdtPr>
              <w:sdtEndPr/>
              <w:sdtContent>
                <w:r w:rsidR="00705041">
                  <w:rPr>
                    <w:rtl/>
                  </w:rPr>
                  <w:t xml:space="preserve">     </w:t>
                </w:r>
              </w:sdtContent>
            </w:sdt>
            <w:r w:rsidR="00D16D92">
              <w:rPr>
                <w:rFonts w:hint="cs"/>
                <w:rtl/>
              </w:rPr>
              <w:t xml:space="preserve">, </w:t>
            </w:r>
            <w:sdt>
              <w:sdtPr>
                <w:rPr>
                  <w:rFonts w:hint="cs"/>
                  <w:b/>
                  <w:bCs/>
                  <w:rtl/>
                </w:rPr>
                <w:alias w:val="2316"/>
                <w:tag w:val="2316"/>
                <w:id w:val="325945268"/>
                <w:text w:multiLine="1"/>
              </w:sdtPr>
              <w:sdtEndPr/>
              <w:sdtContent>
                <w:r w:rsidR="00705041" w:rsidRPr="00705041">
                  <w:rPr>
                    <w:b/>
                    <w:bCs/>
                    <w:rtl/>
                  </w:rPr>
                  <w:br/>
                </w:r>
                <w:r w:rsidR="00705041" w:rsidRPr="00705041">
                  <w:rPr>
                    <w:rFonts w:hint="cs"/>
                    <w:b/>
                    <w:bCs/>
                    <w:rtl/>
                  </w:rPr>
                  <w:t>על ידי באת כוחה- עו"ד עינת גורביץ</w:t>
                </w:r>
              </w:sdtContent>
            </w:sdt>
          </w:p>
        </w:tc>
      </w:tr>
      <w:tr w:rsidR="00694556">
        <w:trPr>
          <w:jc w:val="center"/>
        </w:trPr>
        <w:tc>
          <w:tcPr>
            <w:tcW w:w="8820" w:type="dxa"/>
            <w:gridSpan w:val="4"/>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DD5562">
            <w:pPr>
              <w:rPr>
                <w:rFonts w:ascii="Arial" w:hAnsi="Arial"/>
                <w:b/>
                <w:bCs/>
                <w:noProof w:val="0"/>
                <w:sz w:val="26"/>
                <w:szCs w:val="26"/>
              </w:rPr>
            </w:pPr>
            <w:sdt>
              <w:sdtPr>
                <w:rPr>
                  <w:rtl/>
                </w:rPr>
                <w:alias w:val="1184"/>
                <w:tag w:val="1184"/>
                <w:id w:val="1308444511"/>
                <w:text w:multiLine="1"/>
              </w:sdtPr>
              <w:sdtEndPr/>
              <w:sdtContent>
                <w:r w:rsidR="00536548">
                  <w:rPr>
                    <w:rFonts w:ascii="Arial" w:hAnsi="Arial"/>
                    <w:b/>
                    <w:bCs/>
                    <w:noProof w:val="0"/>
                    <w:sz w:val="26"/>
                    <w:szCs w:val="26"/>
                    <w:rtl/>
                  </w:rPr>
                  <w:t>משיב</w:t>
                </w:r>
              </w:sdtContent>
            </w:sdt>
          </w:p>
        </w:tc>
        <w:tc>
          <w:tcPr>
            <w:tcW w:w="5571" w:type="dxa"/>
            <w:gridSpan w:val="2"/>
          </w:tcPr>
          <w:p w:rsidR="00694556" w:rsidRDefault="00694556">
            <w:pPr>
              <w:rPr>
                <w:rFonts w:ascii="Arial" w:hAnsi="Arial"/>
                <w:b/>
                <w:bCs/>
                <w:noProof w:val="0"/>
                <w:sz w:val="26"/>
                <w:szCs w:val="26"/>
                <w:rtl/>
              </w:rPr>
            </w:pPr>
          </w:p>
          <w:p w:rsidR="00694556" w:rsidRDefault="00DD5562" w:rsidP="00705041">
            <w:pPr>
              <w:rPr>
                <w:b/>
                <w:bCs/>
                <w:noProof w:val="0"/>
                <w:sz w:val="26"/>
                <w:szCs w:val="26"/>
                <w:rtl/>
              </w:rPr>
            </w:pPr>
            <w:sdt>
              <w:sdtPr>
                <w:rPr>
                  <w:b/>
                  <w:bCs/>
                  <w:rtl/>
                </w:rPr>
                <w:alias w:val="1486"/>
                <w:tag w:val="1486"/>
                <w:id w:val="-832750105"/>
                <w:text w:multiLine="1"/>
              </w:sdtPr>
              <w:sdtEndPr/>
              <w:sdtContent>
                <w:r w:rsidR="00705041">
                  <w:rPr>
                    <w:rFonts w:hint="cs"/>
                    <w:b/>
                    <w:bCs/>
                    <w:rtl/>
                  </w:rPr>
                  <w:t>פלוני</w:t>
                </w:r>
              </w:sdtContent>
            </w:sdt>
            <w:r w:rsidR="00D16D92">
              <w:rPr>
                <w:rFonts w:hint="cs"/>
                <w:rtl/>
              </w:rPr>
              <w:t xml:space="preserve"> , </w:t>
            </w:r>
            <w:sdt>
              <w:sdtPr>
                <w:rPr>
                  <w:rFonts w:hint="cs"/>
                  <w:b/>
                  <w:bCs/>
                  <w:rtl/>
                </w:rPr>
                <w:alias w:val="2318"/>
                <w:tag w:val="2318"/>
                <w:id w:val="1637136125"/>
                <w:text w:multiLine="1"/>
              </w:sdtPr>
              <w:sdtEndPr/>
              <w:sdtContent>
                <w:r w:rsidR="00705041" w:rsidRPr="00705041">
                  <w:rPr>
                    <w:rFonts w:ascii="Arial" w:hAnsi="Arial"/>
                    <w:b/>
                    <w:bCs/>
                    <w:noProof w:val="0"/>
                    <w:sz w:val="26"/>
                    <w:szCs w:val="26"/>
                    <w:rtl/>
                  </w:rPr>
                  <w:br/>
                </w:r>
                <w:r w:rsidR="00705041" w:rsidRPr="00705041">
                  <w:rPr>
                    <w:rFonts w:hint="cs"/>
                    <w:b/>
                    <w:bCs/>
                    <w:rtl/>
                  </w:rPr>
                  <w:t>על ידי באת כוחו- עו"ד שרית ישר</w:t>
                </w:r>
              </w:sdtContent>
            </w:sdt>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694556" w:rsidRDefault="00694556">
      <w:pPr>
        <w:spacing w:line="360" w:lineRule="auto"/>
        <w:jc w:val="both"/>
        <w:rPr>
          <w:rFonts w:ascii="Arial" w:hAnsi="Arial"/>
          <w:noProof w:val="0"/>
          <w:rtl/>
        </w:rPr>
      </w:pPr>
    </w:p>
    <w:p w:rsidR="00694556" w:rsidRDefault="00536548">
      <w:pPr>
        <w:spacing w:line="360" w:lineRule="auto"/>
        <w:jc w:val="both"/>
        <w:rPr>
          <w:rFonts w:ascii="Arial" w:hAnsi="Arial"/>
          <w:noProof w:val="0"/>
          <w:rtl/>
        </w:rPr>
      </w:pPr>
      <w:r>
        <w:rPr>
          <w:rFonts w:ascii="Arial" w:hAnsi="Arial" w:hint="cs"/>
          <w:noProof w:val="0"/>
          <w:rtl/>
        </w:rPr>
        <w:t>בפניי בקשה לסילוק התביעה על הסף מהטעם שקיים השתק שיפוטי להגשת התביעה ולאור קיומה של מדיניות משפטית ראויה.</w:t>
      </w:r>
    </w:p>
    <w:p w:rsidR="00536548" w:rsidRDefault="00536548">
      <w:pPr>
        <w:spacing w:line="360" w:lineRule="auto"/>
        <w:jc w:val="both"/>
        <w:rPr>
          <w:rFonts w:ascii="Arial" w:hAnsi="Arial"/>
          <w:noProof w:val="0"/>
          <w:rtl/>
        </w:rPr>
      </w:pPr>
    </w:p>
    <w:p w:rsidR="00351393" w:rsidRDefault="00351393" w:rsidP="00351393">
      <w:pPr>
        <w:spacing w:line="360" w:lineRule="auto"/>
        <w:ind w:firstLine="720"/>
        <w:jc w:val="both"/>
        <w:rPr>
          <w:rFonts w:ascii="Arial" w:hAnsi="Arial"/>
          <w:b/>
          <w:bCs/>
          <w:noProof w:val="0"/>
          <w:u w:val="single"/>
          <w:rtl/>
        </w:rPr>
      </w:pPr>
      <w:r>
        <w:rPr>
          <w:rFonts w:ascii="Arial" w:hAnsi="Arial" w:hint="cs"/>
          <w:b/>
          <w:bCs/>
          <w:noProof w:val="0"/>
          <w:u w:val="single"/>
          <w:rtl/>
        </w:rPr>
        <w:t>רקע לבקשה</w:t>
      </w:r>
    </w:p>
    <w:p w:rsidR="00351393" w:rsidRDefault="00351393">
      <w:pPr>
        <w:spacing w:line="360" w:lineRule="auto"/>
        <w:jc w:val="both"/>
        <w:rPr>
          <w:rFonts w:ascii="Arial" w:hAnsi="Arial"/>
          <w:b/>
          <w:bCs/>
          <w:noProof w:val="0"/>
          <w:u w:val="single"/>
          <w:rtl/>
        </w:rPr>
      </w:pPr>
    </w:p>
    <w:p w:rsidR="00536548" w:rsidRPr="00351393" w:rsidRDefault="00536548" w:rsidP="00705041">
      <w:pPr>
        <w:pStyle w:val="ad"/>
        <w:numPr>
          <w:ilvl w:val="0"/>
          <w:numId w:val="4"/>
        </w:numPr>
        <w:spacing w:line="360" w:lineRule="auto"/>
        <w:jc w:val="both"/>
        <w:rPr>
          <w:rFonts w:ascii="Arial" w:hAnsi="Arial"/>
          <w:noProof w:val="0"/>
          <w:rtl/>
        </w:rPr>
      </w:pPr>
      <w:r w:rsidRPr="00351393">
        <w:rPr>
          <w:rFonts w:ascii="Arial" w:hAnsi="Arial" w:hint="cs"/>
          <w:noProof w:val="0"/>
          <w:rtl/>
        </w:rPr>
        <w:t>התובע הגיש תביעה לביטול הסכם הגירושין שנחתם בין ה</w:t>
      </w:r>
      <w:r w:rsidR="00705041">
        <w:rPr>
          <w:rFonts w:ascii="Arial" w:hAnsi="Arial" w:hint="cs"/>
          <w:noProof w:val="0"/>
          <w:rtl/>
        </w:rPr>
        <w:t>צדדים וקיבל תוקף של פסק דין בשנת 2019</w:t>
      </w:r>
      <w:r w:rsidRPr="00351393">
        <w:rPr>
          <w:rFonts w:ascii="Arial" w:hAnsi="Arial" w:hint="cs"/>
          <w:noProof w:val="0"/>
          <w:rtl/>
        </w:rPr>
        <w:t>.</w:t>
      </w:r>
    </w:p>
    <w:p w:rsidR="00536548" w:rsidRDefault="00536548">
      <w:pPr>
        <w:spacing w:line="360" w:lineRule="auto"/>
        <w:jc w:val="both"/>
        <w:rPr>
          <w:rFonts w:ascii="Arial" w:hAnsi="Arial"/>
          <w:noProof w:val="0"/>
          <w:rtl/>
        </w:rPr>
      </w:pPr>
    </w:p>
    <w:p w:rsidR="00536548" w:rsidRPr="00351393" w:rsidRDefault="00536548" w:rsidP="00351393">
      <w:pPr>
        <w:pStyle w:val="ad"/>
        <w:numPr>
          <w:ilvl w:val="0"/>
          <w:numId w:val="4"/>
        </w:numPr>
        <w:spacing w:line="360" w:lineRule="auto"/>
        <w:jc w:val="both"/>
        <w:rPr>
          <w:rFonts w:ascii="Arial" w:hAnsi="Arial"/>
          <w:noProof w:val="0"/>
          <w:rtl/>
        </w:rPr>
      </w:pPr>
      <w:r w:rsidRPr="00351393">
        <w:rPr>
          <w:rFonts w:ascii="Arial" w:hAnsi="Arial" w:hint="cs"/>
          <w:noProof w:val="0"/>
          <w:rtl/>
        </w:rPr>
        <w:t>לטענת המשיב, דין ההסכם פסלות, שעה שמדובר בהסכם למראית עיון וחוזה פסול שמטרתו היתה להציל את דירת הצדדים מהנושים הרבים שהיו לצדדים והראייה לכך היא בתם של הצדדים, שנולדה לאחר הליך הגירושין</w:t>
      </w:r>
      <w:r w:rsidR="006861C7" w:rsidRPr="00351393">
        <w:rPr>
          <w:rFonts w:ascii="Arial" w:hAnsi="Arial" w:hint="cs"/>
          <w:noProof w:val="0"/>
          <w:rtl/>
        </w:rPr>
        <w:t>.</w:t>
      </w:r>
    </w:p>
    <w:p w:rsidR="006861C7" w:rsidRDefault="006861C7">
      <w:pPr>
        <w:spacing w:line="360" w:lineRule="auto"/>
        <w:jc w:val="both"/>
        <w:rPr>
          <w:rFonts w:ascii="Arial" w:hAnsi="Arial"/>
          <w:noProof w:val="0"/>
          <w:rtl/>
        </w:rPr>
      </w:pPr>
    </w:p>
    <w:p w:rsidR="006861C7" w:rsidRPr="00351393" w:rsidRDefault="006861C7" w:rsidP="00351393">
      <w:pPr>
        <w:pStyle w:val="ad"/>
        <w:numPr>
          <w:ilvl w:val="0"/>
          <w:numId w:val="4"/>
        </w:numPr>
        <w:spacing w:line="360" w:lineRule="auto"/>
        <w:jc w:val="both"/>
        <w:rPr>
          <w:rFonts w:ascii="Arial" w:hAnsi="Arial"/>
          <w:noProof w:val="0"/>
          <w:rtl/>
        </w:rPr>
      </w:pPr>
      <w:r w:rsidRPr="00351393">
        <w:rPr>
          <w:rFonts w:ascii="Arial" w:hAnsi="Arial" w:hint="cs"/>
          <w:noProof w:val="0"/>
          <w:rtl/>
        </w:rPr>
        <w:t>המבקשת, כאמור, הגישה בקשה לדחיית התביעה על הסף נוכח קיומו של השתק שיפוטי והוראות תקנות סדר הדין האזרחי. עוד הכחישה המבקשת טענותיו של המשיב לגופן.</w:t>
      </w:r>
    </w:p>
    <w:p w:rsidR="006861C7" w:rsidRDefault="006861C7">
      <w:pPr>
        <w:spacing w:line="360" w:lineRule="auto"/>
        <w:jc w:val="both"/>
        <w:rPr>
          <w:rFonts w:ascii="Arial" w:hAnsi="Arial"/>
          <w:noProof w:val="0"/>
          <w:rtl/>
        </w:rPr>
      </w:pPr>
    </w:p>
    <w:p w:rsidR="006861C7" w:rsidRPr="00351393" w:rsidRDefault="006861C7" w:rsidP="00351393">
      <w:pPr>
        <w:pStyle w:val="ad"/>
        <w:numPr>
          <w:ilvl w:val="0"/>
          <w:numId w:val="4"/>
        </w:numPr>
        <w:spacing w:line="360" w:lineRule="auto"/>
        <w:jc w:val="both"/>
        <w:rPr>
          <w:rFonts w:ascii="Arial" w:hAnsi="Arial"/>
          <w:noProof w:val="0"/>
          <w:rtl/>
        </w:rPr>
      </w:pPr>
      <w:r w:rsidRPr="00351393">
        <w:rPr>
          <w:rFonts w:ascii="Arial" w:hAnsi="Arial" w:hint="cs"/>
          <w:noProof w:val="0"/>
          <w:rtl/>
        </w:rPr>
        <w:t>מנגד, טען המשיב כי לא חל השתק שיפוטי, שעה שהעניין לא התברר בפני בית משפט וכי השקיע בדירת המגורים ולאור העובדה שבתם של הצדדים נולדה למעלה מתשעה חודשים לאחר עריכת ההסכם.</w:t>
      </w:r>
    </w:p>
    <w:p w:rsidR="00351393" w:rsidRDefault="00351393">
      <w:pPr>
        <w:spacing w:line="360" w:lineRule="auto"/>
        <w:jc w:val="both"/>
        <w:rPr>
          <w:rFonts w:ascii="Arial" w:hAnsi="Arial"/>
          <w:b/>
          <w:bCs/>
          <w:noProof w:val="0"/>
          <w:u w:val="single"/>
          <w:rtl/>
        </w:rPr>
      </w:pPr>
    </w:p>
    <w:p w:rsidR="00351393" w:rsidRDefault="00351393" w:rsidP="00351393">
      <w:pPr>
        <w:spacing w:line="360" w:lineRule="auto"/>
        <w:ind w:firstLine="360"/>
        <w:jc w:val="both"/>
        <w:rPr>
          <w:rFonts w:ascii="Arial" w:hAnsi="Arial"/>
          <w:noProof w:val="0"/>
          <w:rtl/>
        </w:rPr>
      </w:pPr>
      <w:r>
        <w:rPr>
          <w:rFonts w:ascii="Arial" w:hAnsi="Arial" w:hint="cs"/>
          <w:b/>
          <w:bCs/>
          <w:noProof w:val="0"/>
          <w:u w:val="single"/>
          <w:rtl/>
        </w:rPr>
        <w:lastRenderedPageBreak/>
        <w:t>דיון והכרעה</w:t>
      </w:r>
    </w:p>
    <w:p w:rsidR="00351393" w:rsidRDefault="00351393">
      <w:pPr>
        <w:spacing w:line="360" w:lineRule="auto"/>
        <w:jc w:val="both"/>
        <w:rPr>
          <w:rFonts w:ascii="Arial" w:hAnsi="Arial"/>
          <w:noProof w:val="0"/>
          <w:rtl/>
        </w:rPr>
      </w:pPr>
    </w:p>
    <w:p w:rsidR="00351393" w:rsidRDefault="00351393" w:rsidP="00351393">
      <w:pPr>
        <w:pStyle w:val="ad"/>
        <w:numPr>
          <w:ilvl w:val="0"/>
          <w:numId w:val="4"/>
        </w:numPr>
        <w:spacing w:line="360" w:lineRule="auto"/>
        <w:jc w:val="both"/>
        <w:rPr>
          <w:rFonts w:ascii="Arial" w:hAnsi="Arial"/>
          <w:noProof w:val="0"/>
        </w:rPr>
      </w:pPr>
      <w:r w:rsidRPr="00351393">
        <w:rPr>
          <w:rFonts w:ascii="Arial" w:hAnsi="Arial" w:hint="cs"/>
          <w:noProof w:val="0"/>
          <w:rtl/>
        </w:rPr>
        <w:t xml:space="preserve">אם כן, טענתו של </w:t>
      </w:r>
      <w:r>
        <w:rPr>
          <w:rFonts w:ascii="Arial" w:hAnsi="Arial" w:hint="cs"/>
          <w:noProof w:val="0"/>
          <w:rtl/>
        </w:rPr>
        <w:t xml:space="preserve">המבקש הינה טענה אחת בלבד ולפיה </w:t>
      </w:r>
      <w:r w:rsidRPr="00351393">
        <w:rPr>
          <w:rFonts w:ascii="Arial" w:hAnsi="Arial" w:hint="cs"/>
          <w:noProof w:val="0"/>
          <w:rtl/>
        </w:rPr>
        <w:t xml:space="preserve">הסכם </w:t>
      </w:r>
      <w:r>
        <w:rPr>
          <w:rFonts w:ascii="Arial" w:hAnsi="Arial" w:hint="cs"/>
          <w:noProof w:val="0"/>
          <w:rtl/>
        </w:rPr>
        <w:t xml:space="preserve">הגירושין </w:t>
      </w:r>
      <w:r w:rsidRPr="00351393">
        <w:rPr>
          <w:rFonts w:ascii="Arial" w:hAnsi="Arial" w:hint="cs"/>
          <w:noProof w:val="0"/>
          <w:rtl/>
        </w:rPr>
        <w:t>בטל שעה שנערך כהסכם למראית עין</w:t>
      </w:r>
      <w:r>
        <w:rPr>
          <w:rFonts w:ascii="Arial" w:hAnsi="Arial" w:hint="cs"/>
          <w:noProof w:val="0"/>
          <w:rtl/>
        </w:rPr>
        <w:t xml:space="preserve"> לצורך התחמקות מנושים</w:t>
      </w:r>
      <w:r w:rsidR="00FC5D6F">
        <w:rPr>
          <w:rFonts w:ascii="Arial" w:hAnsi="Arial" w:hint="cs"/>
          <w:noProof w:val="0"/>
          <w:rtl/>
        </w:rPr>
        <w:t xml:space="preserve"> כאמור בסעיף 25 לכתב התביעה.</w:t>
      </w:r>
    </w:p>
    <w:p w:rsidR="00FC5D6F" w:rsidRDefault="00FC5D6F" w:rsidP="00FC5D6F">
      <w:pPr>
        <w:pStyle w:val="ad"/>
        <w:spacing w:line="360" w:lineRule="auto"/>
        <w:jc w:val="both"/>
        <w:rPr>
          <w:rFonts w:ascii="Arial" w:hAnsi="Arial"/>
          <w:noProof w:val="0"/>
        </w:rPr>
      </w:pPr>
    </w:p>
    <w:p w:rsidR="009B47E7" w:rsidRDefault="009B47E7" w:rsidP="00351393">
      <w:pPr>
        <w:pStyle w:val="ad"/>
        <w:numPr>
          <w:ilvl w:val="0"/>
          <w:numId w:val="4"/>
        </w:numPr>
        <w:spacing w:line="360" w:lineRule="auto"/>
        <w:jc w:val="both"/>
        <w:rPr>
          <w:rFonts w:ascii="Arial" w:hAnsi="Arial"/>
          <w:noProof w:val="0"/>
        </w:rPr>
      </w:pPr>
      <w:r>
        <w:rPr>
          <w:rFonts w:ascii="Arial" w:hAnsi="Arial" w:hint="cs"/>
          <w:noProof w:val="0"/>
          <w:rtl/>
        </w:rPr>
        <w:t>כידוע, לא במהרה ימהר בית משפט לעשות שימוש בסמכותו ולהורות על סילוק תביעה על הסף. רק מקום בו שככל וכל עובדות התביעה יוכחו ודין התביעה להידחות, ייעתר לכך בית המשפט.</w:t>
      </w:r>
    </w:p>
    <w:p w:rsidR="009B47E7" w:rsidRPr="009B47E7" w:rsidRDefault="009B47E7" w:rsidP="009B47E7">
      <w:pPr>
        <w:pStyle w:val="ad"/>
        <w:rPr>
          <w:rFonts w:ascii="Arial" w:hAnsi="Arial"/>
          <w:noProof w:val="0"/>
          <w:rtl/>
        </w:rPr>
      </w:pPr>
    </w:p>
    <w:p w:rsidR="00FC5D6F" w:rsidRDefault="009B47E7" w:rsidP="009B47E7">
      <w:pPr>
        <w:pStyle w:val="ad"/>
        <w:numPr>
          <w:ilvl w:val="0"/>
          <w:numId w:val="4"/>
        </w:numPr>
        <w:spacing w:line="360" w:lineRule="auto"/>
        <w:jc w:val="both"/>
        <w:rPr>
          <w:rFonts w:ascii="Arial" w:hAnsi="Arial"/>
          <w:noProof w:val="0"/>
        </w:rPr>
      </w:pPr>
      <w:r>
        <w:rPr>
          <w:rFonts w:ascii="Arial" w:hAnsi="Arial" w:hint="cs"/>
          <w:noProof w:val="0"/>
          <w:rtl/>
        </w:rPr>
        <w:t xml:space="preserve">משכך, </w:t>
      </w:r>
      <w:r w:rsidR="00FC5D6F">
        <w:rPr>
          <w:rFonts w:ascii="Arial" w:hAnsi="Arial" w:hint="cs"/>
          <w:noProof w:val="0"/>
          <w:rtl/>
        </w:rPr>
        <w:t xml:space="preserve">לצורך הדיון ומתן החלטה </w:t>
      </w:r>
      <w:r>
        <w:rPr>
          <w:rFonts w:ascii="Arial" w:hAnsi="Arial" w:hint="cs"/>
          <w:noProof w:val="0"/>
          <w:rtl/>
        </w:rPr>
        <w:t xml:space="preserve">בבקשה </w:t>
      </w:r>
      <w:r w:rsidR="00FC5D6F">
        <w:rPr>
          <w:rFonts w:ascii="Arial" w:hAnsi="Arial" w:hint="cs"/>
          <w:noProof w:val="0"/>
          <w:rtl/>
        </w:rPr>
        <w:t xml:space="preserve">ושעה שעסקינן בבקשה לסילוק התביעה על הסף, אקבל עמדתו של המשיב במלואה ואף מבלי להידרש לטענות המבקשת ואניח כי זו הסיבה שהצדדים ערכו ההסכם על מנת </w:t>
      </w:r>
      <w:r>
        <w:rPr>
          <w:rFonts w:ascii="Arial" w:hAnsi="Arial" w:hint="cs"/>
          <w:noProof w:val="0"/>
          <w:rtl/>
        </w:rPr>
        <w:t xml:space="preserve">לחמוק מנושים ולהרחיק הדירה מהם. משכך, </w:t>
      </w:r>
      <w:r w:rsidR="00A54D07">
        <w:rPr>
          <w:rFonts w:ascii="Arial" w:hAnsi="Arial" w:hint="cs"/>
          <w:noProof w:val="0"/>
          <w:rtl/>
        </w:rPr>
        <w:t xml:space="preserve">אניח </w:t>
      </w:r>
      <w:r>
        <w:rPr>
          <w:rFonts w:ascii="Arial" w:hAnsi="Arial" w:hint="cs"/>
          <w:noProof w:val="0"/>
          <w:rtl/>
        </w:rPr>
        <w:t xml:space="preserve">לצורך הדיון, </w:t>
      </w:r>
      <w:r w:rsidR="00A54D07">
        <w:rPr>
          <w:rFonts w:ascii="Arial" w:hAnsi="Arial" w:hint="cs"/>
          <w:noProof w:val="0"/>
          <w:rtl/>
        </w:rPr>
        <w:t>כי אכן המדובר בחוזה למראית עין</w:t>
      </w:r>
      <w:r>
        <w:rPr>
          <w:rFonts w:ascii="Arial" w:hAnsi="Arial" w:hint="cs"/>
          <w:noProof w:val="0"/>
          <w:rtl/>
        </w:rPr>
        <w:t xml:space="preserve"> כטענת המשיב</w:t>
      </w:r>
      <w:r w:rsidR="00FC5D6F">
        <w:rPr>
          <w:rFonts w:ascii="Arial" w:hAnsi="Arial" w:hint="cs"/>
          <w:noProof w:val="0"/>
          <w:rtl/>
        </w:rPr>
        <w:t>.</w:t>
      </w:r>
    </w:p>
    <w:p w:rsidR="00FC5D6F" w:rsidRPr="009B47E7" w:rsidRDefault="00FC5D6F" w:rsidP="00FC5D6F">
      <w:pPr>
        <w:pStyle w:val="ad"/>
        <w:rPr>
          <w:rFonts w:ascii="Arial" w:hAnsi="Arial"/>
          <w:noProof w:val="0"/>
          <w:rtl/>
        </w:rPr>
      </w:pPr>
    </w:p>
    <w:p w:rsidR="00A54D07" w:rsidRPr="00A54D07" w:rsidRDefault="00A54D07" w:rsidP="00A54D07">
      <w:pPr>
        <w:pStyle w:val="ad"/>
        <w:numPr>
          <w:ilvl w:val="0"/>
          <w:numId w:val="4"/>
        </w:numPr>
        <w:spacing w:line="360" w:lineRule="auto"/>
        <w:jc w:val="both"/>
        <w:rPr>
          <w:rFonts w:ascii="Arial" w:hAnsi="Arial"/>
          <w:noProof w:val="0"/>
          <w:rtl/>
        </w:rPr>
      </w:pPr>
      <w:r w:rsidRPr="00A54D07">
        <w:rPr>
          <w:rFonts w:ascii="Arial" w:hAnsi="Arial"/>
          <w:noProof w:val="0"/>
          <w:rtl/>
        </w:rPr>
        <w:t>הפסיקה קבעה מהו חוזה למראית עין:</w:t>
      </w:r>
    </w:p>
    <w:p w:rsidR="009B47E7" w:rsidRDefault="009B47E7" w:rsidP="00A54D07">
      <w:pPr>
        <w:pStyle w:val="ad"/>
        <w:spacing w:line="360" w:lineRule="auto"/>
        <w:jc w:val="both"/>
        <w:rPr>
          <w:rFonts w:ascii="Arial" w:hAnsi="Arial"/>
          <w:noProof w:val="0"/>
          <w:rtl/>
        </w:rPr>
      </w:pPr>
    </w:p>
    <w:p w:rsidR="00A54D07" w:rsidRPr="00A54D07" w:rsidRDefault="00A54D07" w:rsidP="00A54D07">
      <w:pPr>
        <w:pStyle w:val="ad"/>
        <w:spacing w:line="360" w:lineRule="auto"/>
        <w:jc w:val="both"/>
        <w:rPr>
          <w:rFonts w:ascii="Arial" w:hAnsi="Arial"/>
          <w:noProof w:val="0"/>
          <w:rtl/>
        </w:rPr>
      </w:pPr>
      <w:r w:rsidRPr="00A54D07">
        <w:rPr>
          <w:rFonts w:ascii="Arial" w:hAnsi="Arial"/>
          <w:noProof w:val="0"/>
          <w:rtl/>
        </w:rPr>
        <w:t>"</w:t>
      </w:r>
      <w:r w:rsidRPr="00A54D07">
        <w:rPr>
          <w:rFonts w:ascii="Arial" w:hAnsi="Arial"/>
          <w:b/>
          <w:bCs/>
          <w:noProof w:val="0"/>
          <w:rtl/>
        </w:rPr>
        <w:t>בחוזה למראית עין מסכימים ביניהם הצדדים, כלפי חוץ, על הסדר משפטי מסוים, בעוד שכוונתם האמיתית שונה. נמצא כי מתקיימות בעניין זה שתי מערכות משפטיות. המערכת האחת, החיצונית והגלויה, הקובעת הסדר מסוים המוסכם על הצדדים והמערכת השנייה, הפנימית הנסתרת, המבטלת בהסכמה הסדר זה או משנה אותו... גישתו של המחוקק הינה כי ההסדר החיצוני, שהוא למראית עין בלבד, בטל הדין נותן תוקף לרצון האמיתי של הצדדים</w:t>
      </w:r>
      <w:r w:rsidRPr="00A54D07">
        <w:rPr>
          <w:rFonts w:ascii="Arial" w:hAnsi="Arial"/>
          <w:noProof w:val="0"/>
          <w:rtl/>
        </w:rPr>
        <w:t xml:space="preserve">. (ראו ע"א 630/78 </w:t>
      </w:r>
      <w:r w:rsidRPr="00A54D07">
        <w:rPr>
          <w:rFonts w:ascii="Arial" w:hAnsi="Arial"/>
          <w:b/>
          <w:bCs/>
          <w:noProof w:val="0"/>
          <w:rtl/>
        </w:rPr>
        <w:t>ביטון ואח' נ' מזרחי</w:t>
      </w:r>
      <w:r w:rsidRPr="00A54D07">
        <w:rPr>
          <w:rFonts w:ascii="Arial" w:hAnsi="Arial"/>
          <w:noProof w:val="0"/>
          <w:rtl/>
        </w:rPr>
        <w:t>, פד"י לג (3) 576, 582).</w:t>
      </w:r>
    </w:p>
    <w:p w:rsidR="00A54D07" w:rsidRPr="00E542C7" w:rsidRDefault="00A54D07" w:rsidP="00E542C7">
      <w:pPr>
        <w:spacing w:line="360" w:lineRule="auto"/>
        <w:jc w:val="both"/>
        <w:rPr>
          <w:rFonts w:ascii="Arial" w:hAnsi="Arial"/>
          <w:noProof w:val="0"/>
          <w:rtl/>
        </w:rPr>
      </w:pPr>
    </w:p>
    <w:p w:rsidR="00E542C7" w:rsidRPr="00E542C7" w:rsidRDefault="00E542C7" w:rsidP="00E542C7">
      <w:pPr>
        <w:pStyle w:val="ad"/>
        <w:numPr>
          <w:ilvl w:val="0"/>
          <w:numId w:val="4"/>
        </w:numPr>
        <w:spacing w:line="360" w:lineRule="auto"/>
        <w:jc w:val="both"/>
        <w:rPr>
          <w:rFonts w:ascii="Arial" w:hAnsi="Arial"/>
          <w:noProof w:val="0"/>
          <w:rtl/>
        </w:rPr>
      </w:pPr>
      <w:r w:rsidRPr="00E542C7">
        <w:rPr>
          <w:rFonts w:ascii="Arial" w:hAnsi="Arial"/>
          <w:noProof w:val="0"/>
          <w:rtl/>
        </w:rPr>
        <w:t>הפסיקה חלוקה באשר לביטולו של הסכם מסוג זה. לפי גישה אחת, יש לבחון הטענה לפיה המדובר בהסכם למראית עין לגופה, תוך הצבת רף גבוה על הטוען כאמור ולפי עמדה אחרת, שיקולים של תקנת הציבור, מדיניות משפטית ואף השתק שיפוטי, צריכים להביא לשלילת כל סעד מהטוען לחוזה למראית עין, אף ללא קשר לקביעה עובדתית כי ההסכם הוא למראית עין.</w:t>
      </w:r>
    </w:p>
    <w:p w:rsidR="00E542C7" w:rsidRDefault="00E542C7" w:rsidP="00E542C7">
      <w:pPr>
        <w:pStyle w:val="ad"/>
        <w:spacing w:line="360" w:lineRule="auto"/>
        <w:jc w:val="both"/>
        <w:rPr>
          <w:rFonts w:ascii="Arial" w:hAnsi="Arial"/>
          <w:noProof w:val="0"/>
          <w:rtl/>
        </w:rPr>
      </w:pPr>
    </w:p>
    <w:p w:rsidR="00E542C7" w:rsidRPr="00705041" w:rsidRDefault="00E542C7" w:rsidP="00705041">
      <w:pPr>
        <w:pStyle w:val="ad"/>
        <w:spacing w:line="360" w:lineRule="auto"/>
        <w:jc w:val="both"/>
        <w:rPr>
          <w:rFonts w:ascii="Arial" w:hAnsi="Arial"/>
          <w:noProof w:val="0"/>
          <w:rtl/>
        </w:rPr>
      </w:pPr>
      <w:r w:rsidRPr="00E542C7">
        <w:rPr>
          <w:rFonts w:ascii="Arial" w:hAnsi="Arial"/>
          <w:noProof w:val="0"/>
          <w:rtl/>
        </w:rPr>
        <w:t xml:space="preserve">ראו הגישות השונות למשל, בתמ"ש 13461/96 (תא) </w:t>
      </w:r>
      <w:r w:rsidRPr="009B47E7">
        <w:rPr>
          <w:rFonts w:ascii="Arial" w:hAnsi="Arial"/>
          <w:b/>
          <w:bCs/>
          <w:noProof w:val="0"/>
          <w:rtl/>
        </w:rPr>
        <w:t>אלטשולר נ' אלטושלר</w:t>
      </w:r>
      <w:r w:rsidRPr="00E542C7">
        <w:rPr>
          <w:rFonts w:ascii="Arial" w:hAnsi="Arial"/>
          <w:noProof w:val="0"/>
          <w:rtl/>
        </w:rPr>
        <w:t xml:space="preserve"> [פורסם בנבו] וכן תמ"ש (נצ) 50</w:t>
      </w:r>
      <w:r>
        <w:rPr>
          <w:rFonts w:ascii="Arial" w:hAnsi="Arial"/>
          <w:noProof w:val="0"/>
          <w:rtl/>
        </w:rPr>
        <w:t xml:space="preserve">52/00 </w:t>
      </w:r>
      <w:r w:rsidRPr="009B47E7">
        <w:rPr>
          <w:rFonts w:ascii="Arial" w:hAnsi="Arial"/>
          <w:b/>
          <w:bCs/>
          <w:noProof w:val="0"/>
          <w:rtl/>
        </w:rPr>
        <w:t>א.נ נ' א.ר.נ</w:t>
      </w:r>
      <w:r>
        <w:rPr>
          <w:rFonts w:ascii="Arial" w:hAnsi="Arial"/>
          <w:noProof w:val="0"/>
          <w:rtl/>
        </w:rPr>
        <w:t xml:space="preserve"> [פורסם בנבו]</w:t>
      </w:r>
      <w:r>
        <w:rPr>
          <w:rFonts w:ascii="Arial" w:hAnsi="Arial" w:hint="cs"/>
          <w:noProof w:val="0"/>
          <w:rtl/>
        </w:rPr>
        <w:t>.</w:t>
      </w:r>
    </w:p>
    <w:p w:rsidR="00E542C7" w:rsidRDefault="00E542C7" w:rsidP="00E542C7">
      <w:pPr>
        <w:pStyle w:val="ad"/>
        <w:numPr>
          <w:ilvl w:val="0"/>
          <w:numId w:val="4"/>
        </w:numPr>
        <w:spacing w:line="360" w:lineRule="auto"/>
        <w:jc w:val="both"/>
        <w:rPr>
          <w:rFonts w:ascii="Arial" w:hAnsi="Arial"/>
          <w:noProof w:val="0"/>
        </w:rPr>
      </w:pPr>
      <w:r>
        <w:rPr>
          <w:rFonts w:ascii="Arial" w:hAnsi="Arial" w:hint="cs"/>
          <w:noProof w:val="0"/>
          <w:rtl/>
        </w:rPr>
        <w:lastRenderedPageBreak/>
        <w:t xml:space="preserve">בעניין הנדון, הודה האיש </w:t>
      </w:r>
      <w:r w:rsidR="00801067">
        <w:rPr>
          <w:rFonts w:ascii="Arial" w:hAnsi="Arial" w:hint="cs"/>
          <w:noProof w:val="0"/>
          <w:rtl/>
        </w:rPr>
        <w:t>בתביעת המזונות כי המדובר בהסכם פיקטיבי באומרו:</w:t>
      </w:r>
    </w:p>
    <w:p w:rsidR="009B47E7" w:rsidRDefault="009B47E7" w:rsidP="00E542C7">
      <w:pPr>
        <w:pStyle w:val="ad"/>
        <w:spacing w:line="360" w:lineRule="auto"/>
        <w:rPr>
          <w:rFonts w:ascii="Arial" w:hAnsi="Arial"/>
          <w:noProof w:val="0"/>
          <w:rtl/>
        </w:rPr>
      </w:pPr>
    </w:p>
    <w:p w:rsidR="00E542C7" w:rsidRPr="00E542C7" w:rsidRDefault="00E542C7" w:rsidP="00E542C7">
      <w:pPr>
        <w:pStyle w:val="ad"/>
        <w:spacing w:line="360" w:lineRule="auto"/>
        <w:rPr>
          <w:rFonts w:ascii="Arial" w:hAnsi="Arial"/>
          <w:b/>
          <w:bCs/>
          <w:noProof w:val="0"/>
          <w:rtl/>
        </w:rPr>
      </w:pPr>
      <w:r>
        <w:rPr>
          <w:rFonts w:ascii="Arial" w:hAnsi="Arial" w:hint="cs"/>
          <w:noProof w:val="0"/>
          <w:rtl/>
        </w:rPr>
        <w:t>"</w:t>
      </w:r>
      <w:r w:rsidRPr="00E542C7">
        <w:rPr>
          <w:rFonts w:ascii="Arial" w:hAnsi="Arial"/>
          <w:b/>
          <w:bCs/>
          <w:noProof w:val="0"/>
          <w:rtl/>
        </w:rPr>
        <w:t>מאוגוסט 22 שילמת מזונות לפי הסכם לשלי?</w:t>
      </w:r>
    </w:p>
    <w:p w:rsidR="00E542C7" w:rsidRPr="00E542C7" w:rsidRDefault="00E542C7" w:rsidP="00E542C7">
      <w:pPr>
        <w:pStyle w:val="ad"/>
        <w:spacing w:line="360" w:lineRule="auto"/>
        <w:rPr>
          <w:rFonts w:ascii="Arial" w:hAnsi="Arial"/>
          <w:b/>
          <w:bCs/>
          <w:noProof w:val="0"/>
          <w:rtl/>
        </w:rPr>
      </w:pPr>
      <w:r>
        <w:rPr>
          <w:rFonts w:ascii="Arial" w:hAnsi="Arial"/>
          <w:b/>
          <w:bCs/>
          <w:noProof w:val="0"/>
          <w:rtl/>
        </w:rPr>
        <w:t>ת.</w:t>
      </w:r>
      <w:r>
        <w:rPr>
          <w:rFonts w:ascii="Arial" w:hAnsi="Arial" w:hint="cs"/>
          <w:b/>
          <w:bCs/>
          <w:noProof w:val="0"/>
          <w:rtl/>
        </w:rPr>
        <w:t xml:space="preserve"> </w:t>
      </w:r>
      <w:r w:rsidRPr="00E542C7">
        <w:rPr>
          <w:rFonts w:ascii="Arial" w:hAnsi="Arial"/>
          <w:b/>
          <w:bCs/>
          <w:noProof w:val="0"/>
          <w:rtl/>
        </w:rPr>
        <w:t>פיקטיבי. לפי הסכם פיקטיבי שילמתי לה.</w:t>
      </w:r>
    </w:p>
    <w:p w:rsidR="00E542C7" w:rsidRDefault="00E542C7" w:rsidP="00E542C7">
      <w:pPr>
        <w:pStyle w:val="ad"/>
        <w:spacing w:line="360" w:lineRule="auto"/>
        <w:jc w:val="both"/>
        <w:rPr>
          <w:rFonts w:ascii="Arial" w:hAnsi="Arial"/>
          <w:noProof w:val="0"/>
          <w:rtl/>
        </w:rPr>
      </w:pPr>
      <w:r w:rsidRPr="00E542C7">
        <w:rPr>
          <w:rFonts w:ascii="Arial" w:hAnsi="Arial"/>
          <w:b/>
          <w:bCs/>
          <w:noProof w:val="0"/>
          <w:rtl/>
        </w:rPr>
        <w:t>לשאלת ביהמ"ש מה זה הסכם פיקטיבי, אני משיב, שהסכם פיקטיבי, אומר שהלכתי להליכי פשר היא מרוויחה 20 אלף ₪ לחודש ויש לה חסכונות ואופציות לחשבון ועלה לה רעין שאם נמשיך לחיות כבעל ואישה נצטרך לשלם בסביבות 10 אלף ש"ח לכונס, ואם נתגרש פיקטיבי נרחיק אותה ונעביר הכל עליה ונשלם רק  500 ₪ אנחנו המשכנו להתגורר ביחד, ויש לי תמונות 3 חודשים לפני הגירושין וכן גם שנה לאחר הגירושין כולל בי"ח והייתי איתה בסלפי בלידה ויש גם הרבה עדים וגם שכנים ואין לי בעיה להביא אותם לעדות</w:t>
      </w:r>
      <w:r w:rsidRPr="00E542C7">
        <w:rPr>
          <w:rFonts w:ascii="Arial" w:hAnsi="Arial"/>
          <w:noProof w:val="0"/>
          <w:rtl/>
        </w:rPr>
        <w:t>.</w:t>
      </w:r>
    </w:p>
    <w:p w:rsidR="00E542C7" w:rsidRDefault="00E542C7" w:rsidP="00E542C7">
      <w:pPr>
        <w:pStyle w:val="ad"/>
        <w:spacing w:line="360" w:lineRule="auto"/>
        <w:jc w:val="both"/>
        <w:rPr>
          <w:rFonts w:ascii="Arial" w:hAnsi="Arial"/>
          <w:noProof w:val="0"/>
          <w:rtl/>
        </w:rPr>
      </w:pPr>
    </w:p>
    <w:p w:rsidR="00801067" w:rsidRDefault="00801067" w:rsidP="00E542C7">
      <w:pPr>
        <w:pStyle w:val="ad"/>
        <w:spacing w:line="360" w:lineRule="auto"/>
        <w:jc w:val="both"/>
        <w:rPr>
          <w:rFonts w:ascii="Arial" w:hAnsi="Arial"/>
          <w:noProof w:val="0"/>
          <w:rtl/>
        </w:rPr>
      </w:pPr>
      <w:r>
        <w:rPr>
          <w:rFonts w:ascii="Arial" w:hAnsi="Arial" w:hint="cs"/>
          <w:noProof w:val="0"/>
          <w:rtl/>
        </w:rPr>
        <w:t>(עמוד 6 לפרוטוקול מיום 29/05/2023, שורות 16-23).</w:t>
      </w:r>
    </w:p>
    <w:p w:rsidR="00694338" w:rsidRDefault="00694338" w:rsidP="00E542C7">
      <w:pPr>
        <w:pStyle w:val="ad"/>
        <w:spacing w:line="360" w:lineRule="auto"/>
        <w:jc w:val="both"/>
        <w:rPr>
          <w:rFonts w:ascii="Arial" w:hAnsi="Arial"/>
          <w:noProof w:val="0"/>
          <w:rtl/>
        </w:rPr>
      </w:pPr>
    </w:p>
    <w:p w:rsidR="00801067" w:rsidRDefault="00801067" w:rsidP="00E542C7">
      <w:pPr>
        <w:pStyle w:val="ad"/>
        <w:spacing w:line="360" w:lineRule="auto"/>
        <w:jc w:val="both"/>
        <w:rPr>
          <w:rFonts w:ascii="Arial" w:hAnsi="Arial"/>
          <w:noProof w:val="0"/>
          <w:rtl/>
        </w:rPr>
      </w:pPr>
      <w:r>
        <w:rPr>
          <w:rFonts w:ascii="Arial" w:hAnsi="Arial" w:hint="cs"/>
          <w:noProof w:val="0"/>
          <w:rtl/>
        </w:rPr>
        <w:t>אם כן, המשיב מודה בבית המשפט וללא כל בעיה</w:t>
      </w:r>
      <w:r w:rsidR="00694338">
        <w:rPr>
          <w:rFonts w:ascii="Arial" w:hAnsi="Arial" w:hint="cs"/>
          <w:noProof w:val="0"/>
          <w:rtl/>
        </w:rPr>
        <w:t xml:space="preserve"> או חשש</w:t>
      </w:r>
      <w:r>
        <w:rPr>
          <w:rFonts w:ascii="Arial" w:hAnsi="Arial" w:hint="cs"/>
          <w:noProof w:val="0"/>
          <w:rtl/>
        </w:rPr>
        <w:t xml:space="preserve">, כי </w:t>
      </w:r>
      <w:r w:rsidR="00694338">
        <w:rPr>
          <w:rFonts w:ascii="Arial" w:hAnsi="Arial" w:hint="cs"/>
          <w:noProof w:val="0"/>
          <w:rtl/>
        </w:rPr>
        <w:t xml:space="preserve">אכן </w:t>
      </w:r>
      <w:r>
        <w:rPr>
          <w:rFonts w:ascii="Arial" w:hAnsi="Arial" w:hint="cs"/>
          <w:noProof w:val="0"/>
          <w:rtl/>
        </w:rPr>
        <w:t>ערך הסכם שכל מטרתו להונות את נושיו ולקבל טובות הנאה כתוצאה מההסכם הפיקטיבי שלטענתו ערך עם המבקשת</w:t>
      </w:r>
      <w:r w:rsidR="00694338">
        <w:rPr>
          <w:rFonts w:ascii="Arial" w:hAnsi="Arial" w:hint="cs"/>
          <w:noProof w:val="0"/>
          <w:rtl/>
        </w:rPr>
        <w:t>, הגם שלטענתו, המדובר בהסכם שנערך ביוזמת המבקשת</w:t>
      </w:r>
      <w:r>
        <w:rPr>
          <w:rFonts w:ascii="Arial" w:hAnsi="Arial" w:hint="cs"/>
          <w:noProof w:val="0"/>
          <w:rtl/>
        </w:rPr>
        <w:t>.</w:t>
      </w:r>
    </w:p>
    <w:p w:rsidR="00801067" w:rsidRDefault="00801067" w:rsidP="00E542C7">
      <w:pPr>
        <w:pStyle w:val="ad"/>
        <w:spacing w:line="360" w:lineRule="auto"/>
        <w:jc w:val="both"/>
        <w:rPr>
          <w:rFonts w:ascii="Arial" w:hAnsi="Arial"/>
          <w:noProof w:val="0"/>
          <w:rtl/>
        </w:rPr>
      </w:pPr>
    </w:p>
    <w:p w:rsidR="00E542C7" w:rsidRPr="00E542C7" w:rsidRDefault="00E542C7" w:rsidP="00E542C7">
      <w:pPr>
        <w:pStyle w:val="ad"/>
        <w:spacing w:line="360" w:lineRule="auto"/>
        <w:jc w:val="both"/>
        <w:rPr>
          <w:rFonts w:ascii="Arial" w:hAnsi="Arial"/>
          <w:noProof w:val="0"/>
          <w:rtl/>
        </w:rPr>
      </w:pPr>
      <w:r w:rsidRPr="00E542C7">
        <w:rPr>
          <w:rFonts w:ascii="Arial" w:hAnsi="Arial"/>
          <w:noProof w:val="0"/>
          <w:rtl/>
        </w:rPr>
        <w:t>לעניין זה יפים דבריו של כבוד השופט שטרק עת קבע כי:</w:t>
      </w:r>
    </w:p>
    <w:p w:rsidR="00E542C7" w:rsidRPr="00E542C7" w:rsidRDefault="00E542C7" w:rsidP="00E542C7">
      <w:pPr>
        <w:spacing w:line="360" w:lineRule="auto"/>
        <w:jc w:val="both"/>
        <w:rPr>
          <w:rFonts w:ascii="Arial" w:hAnsi="Arial"/>
          <w:noProof w:val="0"/>
          <w:rtl/>
        </w:rPr>
      </w:pPr>
    </w:p>
    <w:p w:rsidR="00E542C7" w:rsidRDefault="00E542C7" w:rsidP="00E542C7">
      <w:pPr>
        <w:pStyle w:val="ad"/>
        <w:spacing w:line="360" w:lineRule="auto"/>
        <w:jc w:val="both"/>
        <w:rPr>
          <w:rFonts w:ascii="Arial" w:hAnsi="Arial"/>
          <w:noProof w:val="0"/>
          <w:rtl/>
        </w:rPr>
      </w:pPr>
      <w:r w:rsidRPr="00E542C7">
        <w:rPr>
          <w:rFonts w:ascii="Arial" w:hAnsi="Arial"/>
          <w:noProof w:val="0"/>
          <w:rtl/>
        </w:rPr>
        <w:t>"</w:t>
      </w:r>
      <w:r w:rsidRPr="00801067">
        <w:rPr>
          <w:rFonts w:ascii="Arial" w:hAnsi="Arial"/>
          <w:b/>
          <w:bCs/>
          <w:noProof w:val="0"/>
          <w:rtl/>
        </w:rPr>
        <w:t>במקרה דנן, נוכח הפסיקה הקיימת, אין בית משפט משתתף במעשה לא מוסרי באכיפת הסכמים שנוגדים את תקנת הציבור. המקרה דנן, אם תתקבל טענת הבעל, מחייב את בית המשפט להיות שותף לא פעם אחת אלא פעמיים, פעם אחת באישור ההסכם ופעם אחת בביטולו. על כל בני זוג להבין שיש כללי כבוד למערכת השיפוטית</w:t>
      </w:r>
      <w:r w:rsidRPr="00E542C7">
        <w:rPr>
          <w:rFonts w:ascii="Arial" w:hAnsi="Arial"/>
          <w:noProof w:val="0"/>
          <w:rtl/>
        </w:rPr>
        <w:t>" (ת</w:t>
      </w:r>
      <w:r w:rsidR="00801067">
        <w:rPr>
          <w:rFonts w:ascii="Arial" w:hAnsi="Arial"/>
          <w:noProof w:val="0"/>
          <w:rtl/>
        </w:rPr>
        <w:t xml:space="preserve">מ"ש (ת"א) 49121-01, </w:t>
      </w:r>
      <w:r w:rsidRPr="00E542C7">
        <w:rPr>
          <w:rFonts w:ascii="Arial" w:hAnsi="Arial"/>
          <w:noProof w:val="0"/>
          <w:rtl/>
        </w:rPr>
        <w:t xml:space="preserve"> פורסם ביום 09-09-08).</w:t>
      </w:r>
    </w:p>
    <w:p w:rsidR="00694338" w:rsidRPr="00E542C7" w:rsidRDefault="00694338" w:rsidP="00E542C7">
      <w:pPr>
        <w:pStyle w:val="ad"/>
        <w:spacing w:line="360" w:lineRule="auto"/>
        <w:jc w:val="both"/>
        <w:rPr>
          <w:rFonts w:ascii="Arial" w:hAnsi="Arial"/>
          <w:noProof w:val="0"/>
          <w:rtl/>
        </w:rPr>
      </w:pPr>
    </w:p>
    <w:p w:rsidR="00801067" w:rsidRDefault="00801067" w:rsidP="00801067">
      <w:pPr>
        <w:pStyle w:val="ad"/>
        <w:spacing w:line="360" w:lineRule="auto"/>
        <w:jc w:val="both"/>
        <w:rPr>
          <w:rFonts w:ascii="Arial" w:hAnsi="Arial"/>
          <w:noProof w:val="0"/>
          <w:rtl/>
        </w:rPr>
      </w:pPr>
    </w:p>
    <w:p w:rsidR="00E542C7" w:rsidRPr="00801067" w:rsidRDefault="00E542C7" w:rsidP="00801067">
      <w:pPr>
        <w:pStyle w:val="ad"/>
        <w:spacing w:line="360" w:lineRule="auto"/>
        <w:jc w:val="both"/>
        <w:rPr>
          <w:rFonts w:ascii="Arial" w:hAnsi="Arial"/>
          <w:noProof w:val="0"/>
          <w:rtl/>
        </w:rPr>
      </w:pPr>
      <w:r w:rsidRPr="00801067">
        <w:rPr>
          <w:rFonts w:ascii="Arial" w:hAnsi="Arial"/>
          <w:noProof w:val="0"/>
          <w:rtl/>
        </w:rPr>
        <w:t>ראו גם דברי כבוד השופט ג'יוסי בתמ"ש 5052/00 [פורסם בנבו] (פורסם ביום 19-08-08):</w:t>
      </w:r>
    </w:p>
    <w:p w:rsidR="00842301" w:rsidRDefault="00842301" w:rsidP="00801067">
      <w:pPr>
        <w:pStyle w:val="ad"/>
        <w:spacing w:line="360" w:lineRule="auto"/>
        <w:jc w:val="both"/>
        <w:rPr>
          <w:rFonts w:ascii="Arial" w:hAnsi="Arial"/>
          <w:noProof w:val="0"/>
          <w:rtl/>
        </w:rPr>
      </w:pPr>
    </w:p>
    <w:p w:rsidR="00E542C7" w:rsidRPr="00801067" w:rsidRDefault="00E542C7" w:rsidP="00801067">
      <w:pPr>
        <w:pStyle w:val="ad"/>
        <w:spacing w:line="360" w:lineRule="auto"/>
        <w:jc w:val="both"/>
        <w:rPr>
          <w:rFonts w:ascii="Arial" w:hAnsi="Arial"/>
          <w:noProof w:val="0"/>
          <w:rtl/>
        </w:rPr>
      </w:pPr>
      <w:r w:rsidRPr="00801067">
        <w:rPr>
          <w:rFonts w:ascii="Arial" w:hAnsi="Arial"/>
          <w:noProof w:val="0"/>
          <w:rtl/>
        </w:rPr>
        <w:t>"</w:t>
      </w:r>
      <w:r w:rsidRPr="00801067">
        <w:rPr>
          <w:rFonts w:ascii="Arial" w:hAnsi="Arial"/>
          <w:b/>
          <w:bCs/>
          <w:noProof w:val="0"/>
          <w:rtl/>
        </w:rPr>
        <w:t xml:space="preserve">תקנת הציבור ומדיניות משפטית מחייבות במקרה שלנו דחיית התביעה שכן אין לאפשר לתובע להינות מפרי חטאו ויש לשלול זכות תביעתו ולמנוע ממנו לטעון לפיקטיביות הסכם </w:t>
      </w:r>
      <w:r w:rsidRPr="00801067">
        <w:rPr>
          <w:rFonts w:ascii="Arial" w:hAnsi="Arial"/>
          <w:b/>
          <w:bCs/>
          <w:noProof w:val="0"/>
          <w:rtl/>
        </w:rPr>
        <w:lastRenderedPageBreak/>
        <w:t>הגירושין גם מכח הכלל הקובע כי "מעילה בת עוולה לא תצמח תביעה"...הושטת סעד לתובע שלפנינו יש בה משום עידוד עריכת הסכמים פיקטיביים ושימוש לרעה בהליכי משפט על מנת להכשיל נושים. יתר על כן, קבלת התביעה הופכת את בית המשפט לשותף מלא בהכשילם נושים, לשותף למעשה עוולה ולכלי שרת בידי מתדיינים דוגמת התובע</w:t>
      </w:r>
      <w:r w:rsidRPr="00801067">
        <w:rPr>
          <w:rFonts w:ascii="Arial" w:hAnsi="Arial"/>
          <w:noProof w:val="0"/>
          <w:rtl/>
        </w:rPr>
        <w:t>".</w:t>
      </w:r>
    </w:p>
    <w:p w:rsidR="00E542C7" w:rsidRPr="00801067" w:rsidRDefault="00E542C7" w:rsidP="00801067">
      <w:pPr>
        <w:spacing w:line="360" w:lineRule="auto"/>
        <w:jc w:val="both"/>
        <w:rPr>
          <w:rFonts w:ascii="Arial" w:hAnsi="Arial"/>
          <w:noProof w:val="0"/>
          <w:rtl/>
        </w:rPr>
      </w:pPr>
    </w:p>
    <w:p w:rsidR="00E542C7" w:rsidRDefault="00801067" w:rsidP="00801067">
      <w:pPr>
        <w:pStyle w:val="ad"/>
        <w:numPr>
          <w:ilvl w:val="0"/>
          <w:numId w:val="4"/>
        </w:numPr>
        <w:spacing w:line="360" w:lineRule="auto"/>
        <w:jc w:val="both"/>
        <w:rPr>
          <w:rFonts w:ascii="Arial" w:hAnsi="Arial"/>
          <w:noProof w:val="0"/>
        </w:rPr>
      </w:pPr>
      <w:r>
        <w:rPr>
          <w:rFonts w:ascii="Arial" w:hAnsi="Arial" w:hint="cs"/>
          <w:noProof w:val="0"/>
          <w:rtl/>
        </w:rPr>
        <w:t>עמדה זו מקובלת גם עליי.</w:t>
      </w:r>
      <w:r w:rsidR="00E542C7" w:rsidRPr="00E542C7">
        <w:rPr>
          <w:rFonts w:ascii="Arial" w:hAnsi="Arial"/>
          <w:noProof w:val="0"/>
          <w:rtl/>
        </w:rPr>
        <w:t xml:space="preserve"> בית משפט לא ייתן ידו לפגיעה באינטרס הציבורי ולא יבטל הסכמים הפוגעים באינטרס זה. אומנם, בסופו של יום, האישה נותרת עם הדירה כולה, על אף ש</w:t>
      </w:r>
      <w:r>
        <w:rPr>
          <w:rFonts w:ascii="Arial" w:hAnsi="Arial" w:hint="cs"/>
          <w:noProof w:val="0"/>
          <w:rtl/>
        </w:rPr>
        <w:t xml:space="preserve">לכאורה </w:t>
      </w:r>
      <w:r w:rsidR="00E542C7" w:rsidRPr="00E542C7">
        <w:rPr>
          <w:rFonts w:ascii="Arial" w:hAnsi="Arial"/>
          <w:noProof w:val="0"/>
          <w:rtl/>
        </w:rPr>
        <w:t>היתה שותפה למהלך והוא נעשה בידיעתה, אלא שעל אף התוצאה אליה הגעתי, האינטרס הציבורי שלא לאפשר ביטולם של הסכמים הפוגעים בציבור כולו, גובר על זכייתה של ה</w:t>
      </w:r>
      <w:r>
        <w:rPr>
          <w:rFonts w:ascii="Arial" w:hAnsi="Arial"/>
          <w:noProof w:val="0"/>
          <w:rtl/>
        </w:rPr>
        <w:t>אישה ולכן לא מצאתי ל</w:t>
      </w:r>
      <w:r>
        <w:rPr>
          <w:rFonts w:ascii="Arial" w:hAnsi="Arial" w:hint="cs"/>
          <w:noProof w:val="0"/>
          <w:rtl/>
        </w:rPr>
        <w:t>הידרש לטענת המשיב לפיה יש לבטל ההסכם מחמת היותו הסכם למראית עין.</w:t>
      </w:r>
    </w:p>
    <w:p w:rsidR="00801067" w:rsidRPr="00801067" w:rsidRDefault="00801067" w:rsidP="00801067">
      <w:pPr>
        <w:spacing w:line="360" w:lineRule="auto"/>
        <w:jc w:val="both"/>
        <w:rPr>
          <w:rFonts w:ascii="Arial" w:hAnsi="Arial"/>
          <w:noProof w:val="0"/>
          <w:rtl/>
        </w:rPr>
      </w:pPr>
    </w:p>
    <w:p w:rsidR="00E542C7" w:rsidRDefault="00801067" w:rsidP="00E542C7">
      <w:pPr>
        <w:pStyle w:val="ad"/>
        <w:numPr>
          <w:ilvl w:val="0"/>
          <w:numId w:val="4"/>
        </w:numPr>
        <w:spacing w:line="360" w:lineRule="auto"/>
        <w:jc w:val="both"/>
        <w:rPr>
          <w:rFonts w:ascii="Arial" w:hAnsi="Arial"/>
          <w:noProof w:val="0"/>
        </w:rPr>
      </w:pPr>
      <w:r>
        <w:rPr>
          <w:rFonts w:ascii="Arial" w:hAnsi="Arial" w:hint="cs"/>
          <w:noProof w:val="0"/>
          <w:rtl/>
        </w:rPr>
        <w:t>זאת ועוד, לא ניתן ל</w:t>
      </w:r>
      <w:r w:rsidR="00842301">
        <w:rPr>
          <w:rFonts w:ascii="Arial" w:hAnsi="Arial" w:hint="cs"/>
          <w:noProof w:val="0"/>
          <w:rtl/>
        </w:rPr>
        <w:t>התעלם מטענת האישה קיים השתק שיפוטי למשיב לטעון טענותיו.</w:t>
      </w:r>
    </w:p>
    <w:p w:rsidR="00842301" w:rsidRPr="00842301" w:rsidRDefault="00842301" w:rsidP="00842301">
      <w:pPr>
        <w:pStyle w:val="ad"/>
        <w:rPr>
          <w:rFonts w:ascii="Arial" w:hAnsi="Arial"/>
          <w:noProof w:val="0"/>
          <w:rtl/>
        </w:rPr>
      </w:pPr>
    </w:p>
    <w:p w:rsidR="00842301" w:rsidRDefault="00842301" w:rsidP="00842301">
      <w:pPr>
        <w:pStyle w:val="ad"/>
        <w:spacing w:line="360" w:lineRule="auto"/>
        <w:jc w:val="both"/>
        <w:rPr>
          <w:rFonts w:ascii="Arial" w:hAnsi="Arial"/>
          <w:noProof w:val="0"/>
          <w:rtl/>
        </w:rPr>
      </w:pPr>
      <w:r w:rsidRPr="00842301">
        <w:rPr>
          <w:rFonts w:ascii="Arial" w:hAnsi="Arial"/>
          <w:noProof w:val="0"/>
          <w:rtl/>
        </w:rPr>
        <w:t xml:space="preserve">בפסיקה נקבע כי עקרון ההשתק השיפוטי, המבוסס על עקרונות ההגינות בהליך השיפוטי ותום הלב, משתיק בעל דין מהעלאת טענות סותרות בהליכים שונים ובעניין זה ראו ברע"א 4224/04 </w:t>
      </w:r>
      <w:r w:rsidRPr="00842301">
        <w:rPr>
          <w:rFonts w:ascii="Arial" w:hAnsi="Arial"/>
          <w:b/>
          <w:bCs/>
          <w:noProof w:val="0"/>
          <w:rtl/>
        </w:rPr>
        <w:t>בית ששון בע"מ נ' שיכון עובדים בע"מ</w:t>
      </w:r>
      <w:r w:rsidRPr="00842301">
        <w:rPr>
          <w:rFonts w:ascii="Arial" w:hAnsi="Arial"/>
          <w:noProof w:val="0"/>
          <w:rtl/>
        </w:rPr>
        <w:t>, פ"ד נט (6) 625, 633:</w:t>
      </w:r>
    </w:p>
    <w:p w:rsidR="00842301" w:rsidRPr="00842301" w:rsidRDefault="00842301" w:rsidP="00842301">
      <w:pPr>
        <w:pStyle w:val="ad"/>
        <w:spacing w:line="360" w:lineRule="auto"/>
        <w:jc w:val="both"/>
        <w:rPr>
          <w:rFonts w:ascii="Arial" w:hAnsi="Arial"/>
          <w:noProof w:val="0"/>
          <w:rtl/>
        </w:rPr>
      </w:pPr>
    </w:p>
    <w:p w:rsidR="00842301" w:rsidRDefault="00842301" w:rsidP="00842301">
      <w:pPr>
        <w:pStyle w:val="ad"/>
        <w:numPr>
          <w:ilvl w:val="0"/>
          <w:numId w:val="4"/>
        </w:numPr>
        <w:spacing w:line="360" w:lineRule="auto"/>
        <w:jc w:val="both"/>
        <w:rPr>
          <w:rFonts w:ascii="Arial" w:hAnsi="Arial"/>
          <w:noProof w:val="0"/>
        </w:rPr>
      </w:pPr>
      <w:r>
        <w:rPr>
          <w:rFonts w:ascii="Arial" w:hAnsi="Arial"/>
          <w:noProof w:val="0"/>
          <w:rtl/>
        </w:rPr>
        <w:t>"</w:t>
      </w:r>
      <w:r w:rsidRPr="00842301">
        <w:rPr>
          <w:rFonts w:ascii="Arial" w:hAnsi="Arial"/>
          <w:b/>
          <w:bCs/>
          <w:noProof w:val="0"/>
          <w:rtl/>
        </w:rPr>
        <w:t>הטענה בדבר השתק שיפוטי יכולה להתעורר מקום בו אחד מבעלי הדין מעלה טענות עובדתיות או משפטיות סותרות באותו הליך עצמו או בשני הליכים שונים . . . התכלית שמאחורי ההשתק השיפוטי היא למנוע פגיעה בטוהר ההליך השיפוטי ובאמון הציבור במערכת המשפט וכן להניא מפני ניצולם לרעה של בתי המשפט . . . מכך אף נובע שתחולתו של ההשתק השיפוטי אינה מוגבלת למצב דברים בו מדובר באותם מתדיינים בהליך הראשון ובהליך המאוחר . . . זאת ועוד, טענה בדבר השתק שיפוטי יכולה לעלות בלא קשר לנושא המשפטי המהותי העומד על הפרק''</w:t>
      </w:r>
      <w:r w:rsidRPr="00842301">
        <w:rPr>
          <w:rFonts w:ascii="Arial" w:hAnsi="Arial"/>
          <w:noProof w:val="0"/>
          <w:rtl/>
        </w:rPr>
        <w:t>.</w:t>
      </w:r>
    </w:p>
    <w:p w:rsidR="00842301" w:rsidRPr="00842301" w:rsidRDefault="00842301" w:rsidP="00842301">
      <w:pPr>
        <w:pStyle w:val="ad"/>
        <w:spacing w:line="360" w:lineRule="auto"/>
        <w:jc w:val="both"/>
        <w:rPr>
          <w:rFonts w:ascii="Arial" w:hAnsi="Arial"/>
          <w:noProof w:val="0"/>
          <w:rtl/>
        </w:rPr>
      </w:pPr>
    </w:p>
    <w:p w:rsidR="00842301" w:rsidRPr="00842301" w:rsidRDefault="00842301" w:rsidP="00842301">
      <w:pPr>
        <w:pStyle w:val="ad"/>
        <w:numPr>
          <w:ilvl w:val="0"/>
          <w:numId w:val="4"/>
        </w:numPr>
        <w:spacing w:line="360" w:lineRule="auto"/>
        <w:jc w:val="both"/>
        <w:rPr>
          <w:rFonts w:ascii="Arial" w:hAnsi="Arial"/>
          <w:noProof w:val="0"/>
          <w:rtl/>
        </w:rPr>
      </w:pPr>
      <w:r w:rsidRPr="00842301">
        <w:rPr>
          <w:rFonts w:ascii="Arial" w:hAnsi="Arial"/>
          <w:noProof w:val="0"/>
          <w:rtl/>
        </w:rPr>
        <w:t xml:space="preserve">עוד נקבע בפסיקה כי טענת ההשתק השיפוטי נועדה בין היתר למנוע מצב בו אדם מבקש לאחר שקיבל טובת הנאה בהליך הראשון, לקבל טובת הנאה גם בהליך השני באמצעות העלאת טענה עובדתית סותרת (ראו בר"מ 8689/14 </w:t>
      </w:r>
      <w:r w:rsidRPr="00842301">
        <w:rPr>
          <w:rFonts w:ascii="Arial" w:hAnsi="Arial"/>
          <w:b/>
          <w:bCs/>
          <w:noProof w:val="0"/>
          <w:rtl/>
        </w:rPr>
        <w:t>הוועדה המקומית לתכנון ובנייה מגדל העמק נ' מבני תעשייה בע"מ</w:t>
      </w:r>
      <w:r w:rsidRPr="00842301">
        <w:rPr>
          <w:rFonts w:ascii="Arial" w:hAnsi="Arial"/>
          <w:noProof w:val="0"/>
          <w:rtl/>
        </w:rPr>
        <w:t>, פורסם במאגרים משפטיים ביום 04.05.2015).</w:t>
      </w:r>
    </w:p>
    <w:p w:rsidR="00705041" w:rsidRDefault="00705041" w:rsidP="00705041">
      <w:pPr>
        <w:pStyle w:val="ad"/>
        <w:spacing w:line="360" w:lineRule="auto"/>
        <w:jc w:val="both"/>
        <w:rPr>
          <w:rFonts w:ascii="Arial" w:hAnsi="Arial"/>
          <w:noProof w:val="0"/>
          <w:rtl/>
        </w:rPr>
      </w:pPr>
    </w:p>
    <w:p w:rsidR="00842301" w:rsidRPr="00705041" w:rsidRDefault="00842301" w:rsidP="00705041">
      <w:pPr>
        <w:pStyle w:val="ad"/>
        <w:spacing w:line="360" w:lineRule="auto"/>
        <w:jc w:val="both"/>
        <w:rPr>
          <w:rFonts w:ascii="Arial" w:hAnsi="Arial"/>
          <w:noProof w:val="0"/>
          <w:rtl/>
        </w:rPr>
      </w:pPr>
      <w:r w:rsidRPr="00842301">
        <w:rPr>
          <w:rFonts w:ascii="Arial" w:hAnsi="Arial"/>
          <w:noProof w:val="0"/>
          <w:rtl/>
        </w:rPr>
        <w:lastRenderedPageBreak/>
        <w:t>בנוסף, נקבע בפסק הדין לעיל כי:</w:t>
      </w:r>
    </w:p>
    <w:p w:rsidR="00705041" w:rsidRDefault="00705041" w:rsidP="00842301">
      <w:pPr>
        <w:pStyle w:val="ad"/>
        <w:spacing w:line="360" w:lineRule="auto"/>
        <w:jc w:val="both"/>
        <w:rPr>
          <w:rFonts w:ascii="Arial" w:hAnsi="Arial"/>
          <w:noProof w:val="0"/>
          <w:rtl/>
        </w:rPr>
      </w:pPr>
    </w:p>
    <w:p w:rsidR="00842301" w:rsidRPr="00842301" w:rsidRDefault="00842301" w:rsidP="00842301">
      <w:pPr>
        <w:pStyle w:val="ad"/>
        <w:spacing w:line="360" w:lineRule="auto"/>
        <w:jc w:val="both"/>
        <w:rPr>
          <w:rFonts w:ascii="Arial" w:hAnsi="Arial"/>
          <w:noProof w:val="0"/>
          <w:rtl/>
        </w:rPr>
      </w:pPr>
      <w:r w:rsidRPr="00842301">
        <w:rPr>
          <w:rFonts w:ascii="Arial" w:hAnsi="Arial"/>
          <w:noProof w:val="0"/>
          <w:rtl/>
        </w:rPr>
        <w:t>"</w:t>
      </w:r>
      <w:r w:rsidRPr="00842301">
        <w:rPr>
          <w:rFonts w:ascii="Arial" w:hAnsi="Arial"/>
          <w:b/>
          <w:bCs/>
          <w:noProof w:val="0"/>
          <w:rtl/>
        </w:rPr>
        <w:t>אין מניעה להרחיב את דוקטרינת ההשתק השיפוטי גם להליכים מחוץ לבית המשפט (כגון דיווח לרשויות המס או בהליך מינהלי)</w:t>
      </w:r>
      <w:r w:rsidRPr="00842301">
        <w:rPr>
          <w:rFonts w:ascii="Arial" w:hAnsi="Arial"/>
          <w:noProof w:val="0"/>
          <w:rtl/>
        </w:rPr>
        <w:t>".</w:t>
      </w:r>
    </w:p>
    <w:p w:rsidR="00842301" w:rsidRPr="00842301" w:rsidRDefault="00842301" w:rsidP="00842301">
      <w:pPr>
        <w:pStyle w:val="ad"/>
        <w:spacing w:line="360" w:lineRule="auto"/>
        <w:jc w:val="both"/>
        <w:rPr>
          <w:rFonts w:ascii="Arial" w:hAnsi="Arial"/>
          <w:noProof w:val="0"/>
          <w:rtl/>
        </w:rPr>
      </w:pPr>
    </w:p>
    <w:p w:rsidR="00842301" w:rsidRDefault="00842301" w:rsidP="00842301">
      <w:pPr>
        <w:pStyle w:val="ad"/>
        <w:numPr>
          <w:ilvl w:val="0"/>
          <w:numId w:val="4"/>
        </w:numPr>
        <w:spacing w:line="360" w:lineRule="auto"/>
        <w:jc w:val="both"/>
        <w:rPr>
          <w:rFonts w:ascii="Arial" w:hAnsi="Arial"/>
          <w:noProof w:val="0"/>
        </w:rPr>
      </w:pPr>
      <w:r w:rsidRPr="00842301">
        <w:rPr>
          <w:rFonts w:ascii="Arial" w:hAnsi="Arial"/>
          <w:noProof w:val="0"/>
          <w:rtl/>
        </w:rPr>
        <w:t>אם כן, בית משפט אינו יכול לעצום עיניו ולהתעלם מטענות עובדתיות סותרות המקנות טובת הנאה לצד, כאשר לאחר מכן ועל מנת להביא ליתרון בהליך שיפוטי אחר, הוא יטען טענה עובדתית סותרת. מדובר בטענות סותרות הפוגעות בהליך השיפוטי וקבלת הטענה מאפשרת הגנה על טוה</w:t>
      </w:r>
      <w:r>
        <w:rPr>
          <w:rFonts w:ascii="Arial" w:hAnsi="Arial"/>
          <w:noProof w:val="0"/>
          <w:rtl/>
        </w:rPr>
        <w:t>ר ההליך השיפוטי ואמון הציבור בו</w:t>
      </w:r>
      <w:r>
        <w:rPr>
          <w:rFonts w:ascii="Arial" w:hAnsi="Arial" w:hint="cs"/>
          <w:noProof w:val="0"/>
          <w:rtl/>
        </w:rPr>
        <w:t xml:space="preserve"> וניתן לקבל הטענה גם מקום בו לא התבררו טענותיו של המשיב לגופן בבית המשפט ודי לו שקיבל טובת הנאה כתוצאה מטענותיו.</w:t>
      </w:r>
    </w:p>
    <w:p w:rsidR="00842301" w:rsidRPr="00E542C7" w:rsidRDefault="00842301" w:rsidP="00842301">
      <w:pPr>
        <w:pStyle w:val="ad"/>
        <w:spacing w:line="360" w:lineRule="auto"/>
        <w:jc w:val="both"/>
        <w:rPr>
          <w:rFonts w:ascii="Arial" w:hAnsi="Arial"/>
          <w:noProof w:val="0"/>
          <w:rtl/>
        </w:rPr>
      </w:pPr>
    </w:p>
    <w:p w:rsidR="00FC5D6F" w:rsidRDefault="00842301" w:rsidP="00E542C7">
      <w:pPr>
        <w:pStyle w:val="ad"/>
        <w:numPr>
          <w:ilvl w:val="0"/>
          <w:numId w:val="4"/>
        </w:numPr>
        <w:spacing w:line="360" w:lineRule="auto"/>
        <w:jc w:val="both"/>
        <w:rPr>
          <w:rFonts w:ascii="Arial" w:hAnsi="Arial"/>
          <w:noProof w:val="0"/>
        </w:rPr>
      </w:pPr>
      <w:r>
        <w:rPr>
          <w:rFonts w:ascii="Arial" w:hAnsi="Arial" w:hint="cs"/>
          <w:noProof w:val="0"/>
          <w:rtl/>
        </w:rPr>
        <w:t>בעניין הנדון ושעה שהודה המשיב שכתוצאה מטענותיו, הופחת סכום חיובו בתשלום החודשי, אני סבורה</w:t>
      </w:r>
      <w:r w:rsidR="005C0349">
        <w:rPr>
          <w:rFonts w:ascii="Arial" w:hAnsi="Arial" w:hint="cs"/>
          <w:noProof w:val="0"/>
          <w:rtl/>
        </w:rPr>
        <w:t xml:space="preserve"> שאכן קיים השתק שיפוטי ודי בעובדה שהמשיב טען לקיומו של ההסכם בפניי וחויב בתשלום בצו תשלומי</w:t>
      </w:r>
      <w:r w:rsidR="00182042">
        <w:rPr>
          <w:rFonts w:ascii="Arial" w:hAnsi="Arial" w:hint="cs"/>
          <w:noProof w:val="0"/>
          <w:rtl/>
        </w:rPr>
        <w:t>ם בסך של</w:t>
      </w:r>
      <w:r w:rsidR="005C0349">
        <w:rPr>
          <w:rFonts w:ascii="Arial" w:hAnsi="Arial"/>
          <w:noProof w:val="0"/>
          <w:rtl/>
        </w:rPr>
        <w:t xml:space="preserve">  </w:t>
      </w:r>
      <w:r w:rsidR="005C0349">
        <w:rPr>
          <w:rFonts w:ascii="Arial" w:hAnsi="Arial" w:hint="cs"/>
          <w:noProof w:val="0"/>
          <w:rtl/>
        </w:rPr>
        <w:t>500 ₪ בלבד</w:t>
      </w:r>
      <w:r w:rsidR="00E542C7" w:rsidRPr="00E542C7">
        <w:rPr>
          <w:rFonts w:ascii="Arial" w:hAnsi="Arial"/>
          <w:noProof w:val="0"/>
          <w:rtl/>
        </w:rPr>
        <w:t xml:space="preserve"> </w:t>
      </w:r>
      <w:r w:rsidR="005C0349">
        <w:rPr>
          <w:rFonts w:ascii="Arial" w:hAnsi="Arial" w:hint="cs"/>
          <w:noProof w:val="0"/>
          <w:rtl/>
        </w:rPr>
        <w:t>.</w:t>
      </w:r>
    </w:p>
    <w:p w:rsidR="005C0349" w:rsidRPr="005C0349" w:rsidRDefault="005C0349" w:rsidP="005C0349">
      <w:pPr>
        <w:pStyle w:val="ad"/>
        <w:rPr>
          <w:rFonts w:ascii="Arial" w:hAnsi="Arial"/>
          <w:noProof w:val="0"/>
          <w:rtl/>
        </w:rPr>
      </w:pPr>
    </w:p>
    <w:p w:rsidR="005C0349" w:rsidRDefault="005C0349" w:rsidP="00E542C7">
      <w:pPr>
        <w:pStyle w:val="ad"/>
        <w:numPr>
          <w:ilvl w:val="0"/>
          <w:numId w:val="4"/>
        </w:numPr>
        <w:spacing w:line="360" w:lineRule="auto"/>
        <w:jc w:val="both"/>
        <w:rPr>
          <w:rFonts w:ascii="Arial" w:hAnsi="Arial"/>
          <w:noProof w:val="0"/>
        </w:rPr>
      </w:pPr>
      <w:r>
        <w:rPr>
          <w:rFonts w:ascii="Arial" w:hAnsi="Arial" w:hint="cs"/>
          <w:noProof w:val="0"/>
          <w:rtl/>
        </w:rPr>
        <w:t xml:space="preserve">בנסיבות העניין ולאור הנימוקים לעיל, מצאתי מקום לקבל את הבקשה ולהורות על סילוקה של התביעה מחמת השתק שיפוטי, מדיניות </w:t>
      </w:r>
      <w:r w:rsidR="00DB2844">
        <w:rPr>
          <w:rFonts w:ascii="Arial" w:hAnsi="Arial" w:hint="cs"/>
          <w:noProof w:val="0"/>
          <w:rtl/>
        </w:rPr>
        <w:t>צ</w:t>
      </w:r>
      <w:r>
        <w:rPr>
          <w:rFonts w:ascii="Arial" w:hAnsi="Arial" w:hint="cs"/>
          <w:noProof w:val="0"/>
          <w:rtl/>
        </w:rPr>
        <w:t>יבורית</w:t>
      </w:r>
      <w:r w:rsidR="00182042">
        <w:rPr>
          <w:rFonts w:ascii="Arial" w:hAnsi="Arial" w:hint="cs"/>
          <w:noProof w:val="0"/>
          <w:rtl/>
        </w:rPr>
        <w:t>, שימוש לרעה בהליכי משפט</w:t>
      </w:r>
      <w:r>
        <w:rPr>
          <w:rFonts w:ascii="Arial" w:hAnsi="Arial" w:hint="cs"/>
          <w:noProof w:val="0"/>
          <w:rtl/>
        </w:rPr>
        <w:t xml:space="preserve"> ותקנת הציבור.</w:t>
      </w:r>
    </w:p>
    <w:p w:rsidR="005C0349" w:rsidRPr="005C0349" w:rsidRDefault="005C0349" w:rsidP="005C0349">
      <w:pPr>
        <w:pStyle w:val="ad"/>
        <w:rPr>
          <w:rFonts w:ascii="Arial" w:hAnsi="Arial"/>
          <w:noProof w:val="0"/>
          <w:rtl/>
        </w:rPr>
      </w:pPr>
    </w:p>
    <w:p w:rsidR="005C0349" w:rsidRDefault="005C0349" w:rsidP="00E542C7">
      <w:pPr>
        <w:pStyle w:val="ad"/>
        <w:numPr>
          <w:ilvl w:val="0"/>
          <w:numId w:val="4"/>
        </w:numPr>
        <w:spacing w:line="360" w:lineRule="auto"/>
        <w:jc w:val="both"/>
        <w:rPr>
          <w:rFonts w:ascii="Arial" w:hAnsi="Arial"/>
          <w:noProof w:val="0"/>
        </w:rPr>
      </w:pPr>
      <w:r>
        <w:rPr>
          <w:rFonts w:ascii="Arial" w:hAnsi="Arial" w:hint="cs"/>
          <w:noProof w:val="0"/>
          <w:rtl/>
        </w:rPr>
        <w:t xml:space="preserve">אשר על כן, </w:t>
      </w:r>
      <w:r w:rsidR="00694338">
        <w:rPr>
          <w:rFonts w:ascii="Arial" w:hAnsi="Arial" w:hint="cs"/>
          <w:noProof w:val="0"/>
          <w:rtl/>
        </w:rPr>
        <w:t xml:space="preserve">אני </w:t>
      </w:r>
      <w:r w:rsidR="0017157F">
        <w:rPr>
          <w:rFonts w:ascii="Arial" w:hAnsi="Arial" w:hint="cs"/>
          <w:noProof w:val="0"/>
          <w:rtl/>
        </w:rPr>
        <w:t>מורה על סילוק התביעה על הסף והדיון הקבוע בתיק מבוטל.</w:t>
      </w:r>
    </w:p>
    <w:p w:rsidR="005C0349" w:rsidRPr="00694338" w:rsidRDefault="005C0349" w:rsidP="005C0349">
      <w:pPr>
        <w:pStyle w:val="ad"/>
        <w:rPr>
          <w:rFonts w:ascii="Arial" w:hAnsi="Arial"/>
          <w:noProof w:val="0"/>
          <w:rtl/>
        </w:rPr>
      </w:pPr>
    </w:p>
    <w:p w:rsidR="00694338" w:rsidRPr="00705041" w:rsidRDefault="005C0349" w:rsidP="00705041">
      <w:pPr>
        <w:pStyle w:val="ad"/>
        <w:numPr>
          <w:ilvl w:val="0"/>
          <w:numId w:val="4"/>
        </w:numPr>
        <w:spacing w:line="360" w:lineRule="auto"/>
        <w:jc w:val="both"/>
        <w:rPr>
          <w:rFonts w:ascii="Arial" w:hAnsi="Arial"/>
          <w:noProof w:val="0"/>
          <w:rtl/>
        </w:rPr>
      </w:pPr>
      <w:r>
        <w:rPr>
          <w:rFonts w:ascii="Arial" w:hAnsi="Arial" w:hint="cs"/>
          <w:noProof w:val="0"/>
          <w:rtl/>
        </w:rPr>
        <w:t>ה</w:t>
      </w:r>
      <w:r w:rsidR="00DB2844">
        <w:rPr>
          <w:rFonts w:ascii="Arial" w:hAnsi="Arial" w:hint="cs"/>
          <w:noProof w:val="0"/>
          <w:rtl/>
        </w:rPr>
        <w:t>ואיל ולא התבררה במסגרת הבקשה, סוגיית מעורבותה של המבקשת בעריכת ההסכם</w:t>
      </w:r>
      <w:r w:rsidR="00182042">
        <w:rPr>
          <w:rFonts w:ascii="Arial" w:hAnsi="Arial" w:hint="cs"/>
          <w:noProof w:val="0"/>
          <w:rtl/>
        </w:rPr>
        <w:t>, שעה שייתכן כי ההסכם שנערך אכן הסכם פיקטיבי</w:t>
      </w:r>
      <w:r w:rsidR="00DB2844">
        <w:rPr>
          <w:rFonts w:ascii="Arial" w:hAnsi="Arial" w:hint="cs"/>
          <w:noProof w:val="0"/>
          <w:rtl/>
        </w:rPr>
        <w:t xml:space="preserve"> והתביעה נדחתה על הסף, איני עושה צו להוצאות.</w:t>
      </w:r>
    </w:p>
    <w:p w:rsidR="00705041" w:rsidRDefault="00705041" w:rsidP="009B47E7">
      <w:pPr>
        <w:pStyle w:val="ad"/>
        <w:spacing w:line="360" w:lineRule="auto"/>
        <w:jc w:val="both"/>
        <w:rPr>
          <w:rFonts w:ascii="Arial" w:hAnsi="Arial"/>
          <w:noProof w:val="0"/>
          <w:rtl/>
        </w:rPr>
      </w:pPr>
    </w:p>
    <w:p w:rsidR="009B47E7" w:rsidRDefault="009B47E7" w:rsidP="009B47E7">
      <w:pPr>
        <w:pStyle w:val="ad"/>
        <w:spacing w:line="360" w:lineRule="auto"/>
        <w:jc w:val="both"/>
        <w:rPr>
          <w:rFonts w:ascii="Arial" w:hAnsi="Arial"/>
          <w:noProof w:val="0"/>
          <w:rtl/>
        </w:rPr>
      </w:pPr>
      <w:r>
        <w:rPr>
          <w:rFonts w:ascii="Arial" w:hAnsi="Arial" w:hint="cs"/>
          <w:noProof w:val="0"/>
          <w:rtl/>
        </w:rPr>
        <w:t>המזכירות תמציא העתק פסק הדין לעיונם של הצדדים.</w:t>
      </w:r>
    </w:p>
    <w:p w:rsidR="009B47E7" w:rsidRDefault="009B47E7" w:rsidP="009B47E7">
      <w:pPr>
        <w:pStyle w:val="ad"/>
        <w:spacing w:line="360" w:lineRule="auto"/>
        <w:jc w:val="both"/>
        <w:rPr>
          <w:rFonts w:ascii="Arial" w:hAnsi="Arial"/>
          <w:noProof w:val="0"/>
          <w:rtl/>
        </w:rPr>
      </w:pPr>
    </w:p>
    <w:p w:rsidR="00705041" w:rsidRDefault="00705041" w:rsidP="009B47E7">
      <w:pPr>
        <w:pStyle w:val="ad"/>
        <w:spacing w:line="360" w:lineRule="auto"/>
        <w:jc w:val="both"/>
        <w:rPr>
          <w:rFonts w:ascii="Arial" w:hAnsi="Arial"/>
          <w:noProof w:val="0"/>
          <w:rtl/>
        </w:rPr>
      </w:pPr>
    </w:p>
    <w:p w:rsidR="00705041" w:rsidRDefault="00705041" w:rsidP="009B47E7">
      <w:pPr>
        <w:pStyle w:val="ad"/>
        <w:spacing w:line="360" w:lineRule="auto"/>
        <w:jc w:val="both"/>
        <w:rPr>
          <w:rFonts w:ascii="Arial" w:hAnsi="Arial"/>
          <w:noProof w:val="0"/>
          <w:rtl/>
        </w:rPr>
      </w:pPr>
    </w:p>
    <w:p w:rsidR="00705041" w:rsidRDefault="00705041" w:rsidP="009B47E7">
      <w:pPr>
        <w:pStyle w:val="ad"/>
        <w:spacing w:line="360" w:lineRule="auto"/>
        <w:jc w:val="both"/>
        <w:rPr>
          <w:rFonts w:ascii="Arial" w:hAnsi="Arial"/>
          <w:noProof w:val="0"/>
          <w:rtl/>
        </w:rPr>
      </w:pPr>
    </w:p>
    <w:p w:rsidR="00705041" w:rsidRDefault="00705041" w:rsidP="009B47E7">
      <w:pPr>
        <w:pStyle w:val="ad"/>
        <w:spacing w:line="360" w:lineRule="auto"/>
        <w:jc w:val="both"/>
        <w:rPr>
          <w:rFonts w:ascii="Arial" w:hAnsi="Arial"/>
          <w:noProof w:val="0"/>
          <w:rtl/>
        </w:rPr>
      </w:pPr>
    </w:p>
    <w:p w:rsidR="00705041" w:rsidRDefault="00705041" w:rsidP="009B47E7">
      <w:pPr>
        <w:pStyle w:val="ad"/>
        <w:spacing w:line="360" w:lineRule="auto"/>
        <w:jc w:val="both"/>
        <w:rPr>
          <w:rFonts w:ascii="Arial" w:hAnsi="Arial"/>
          <w:noProof w:val="0"/>
          <w:rtl/>
        </w:rPr>
      </w:pPr>
    </w:p>
    <w:p w:rsidR="00705041" w:rsidRDefault="00705041" w:rsidP="009B47E7">
      <w:pPr>
        <w:pStyle w:val="ad"/>
        <w:spacing w:line="360" w:lineRule="auto"/>
        <w:jc w:val="both"/>
        <w:rPr>
          <w:rFonts w:ascii="Arial" w:hAnsi="Arial"/>
          <w:noProof w:val="0"/>
          <w:rtl/>
        </w:rPr>
      </w:pPr>
    </w:p>
    <w:p w:rsidR="00705041" w:rsidRDefault="00705041" w:rsidP="009B47E7">
      <w:pPr>
        <w:pStyle w:val="ad"/>
        <w:spacing w:line="360" w:lineRule="auto"/>
        <w:jc w:val="both"/>
        <w:rPr>
          <w:rFonts w:ascii="Arial" w:hAnsi="Arial"/>
          <w:noProof w:val="0"/>
          <w:rtl/>
        </w:rPr>
      </w:pPr>
      <w:r>
        <w:rPr>
          <w:rFonts w:ascii="Arial" w:hAnsi="Arial" w:hint="cs"/>
          <w:noProof w:val="0"/>
          <w:rtl/>
        </w:rPr>
        <w:t>פסק הדין הותר לפרסום בהחלטה נוספת מיום 08/08/2023 ועל פי בקשת אחד הצדדים.</w:t>
      </w:r>
    </w:p>
    <w:p w:rsidR="00705041" w:rsidRDefault="00705041" w:rsidP="009B47E7">
      <w:pPr>
        <w:pStyle w:val="ad"/>
        <w:spacing w:line="360" w:lineRule="auto"/>
        <w:jc w:val="both"/>
        <w:rPr>
          <w:rFonts w:ascii="Arial" w:hAnsi="Arial"/>
          <w:noProof w:val="0"/>
          <w:rtl/>
        </w:rPr>
      </w:pPr>
    </w:p>
    <w:p w:rsidR="00694556" w:rsidRDefault="009B47E7" w:rsidP="009B47E7">
      <w:pPr>
        <w:pStyle w:val="ad"/>
        <w:spacing w:line="360" w:lineRule="auto"/>
        <w:jc w:val="both"/>
        <w:rPr>
          <w:rFonts w:ascii="Arial" w:hAnsi="Arial"/>
          <w:noProof w:val="0"/>
          <w:rtl/>
        </w:rPr>
      </w:pPr>
      <w:r>
        <w:rPr>
          <w:rFonts w:ascii="Arial" w:hAnsi="Arial" w:hint="cs"/>
          <w:noProof w:val="0"/>
          <w:rtl/>
        </w:rPr>
        <w:t>מורה על סגירת התיק.</w:t>
      </w:r>
    </w:p>
    <w:p w:rsidR="00705041" w:rsidRDefault="00705041" w:rsidP="00705041">
      <w:pPr>
        <w:spacing w:line="360" w:lineRule="auto"/>
        <w:ind w:firstLine="720"/>
        <w:jc w:val="both"/>
        <w:rPr>
          <w:rFonts w:ascii="Arial" w:hAnsi="Arial"/>
          <w:noProof w:val="0"/>
          <w:rtl/>
        </w:rPr>
      </w:pPr>
    </w:p>
    <w:p w:rsidR="00705041" w:rsidRDefault="00705041" w:rsidP="00705041">
      <w:pPr>
        <w:spacing w:line="360" w:lineRule="auto"/>
        <w:ind w:firstLine="720"/>
        <w:jc w:val="both"/>
        <w:rPr>
          <w:rFonts w:ascii="Arial" w:hAnsi="Arial"/>
          <w:noProof w:val="0"/>
          <w:rtl/>
        </w:rPr>
      </w:pPr>
    </w:p>
    <w:p w:rsidR="00705041" w:rsidRDefault="0043502B" w:rsidP="00705041">
      <w:pPr>
        <w:spacing w:line="360" w:lineRule="auto"/>
        <w:ind w:firstLine="720"/>
        <w:jc w:val="both"/>
        <w:rPr>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כ"ז תמוז תשפ"ג</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16 יולי 2023</w:t>
          </w:r>
        </w:sdtContent>
      </w:sdt>
      <w:r w:rsidR="00005C8B">
        <w:rPr>
          <w:rFonts w:ascii="Arial" w:hAnsi="Arial"/>
          <w:noProof w:val="0"/>
          <w:rtl/>
        </w:rPr>
        <w:t>, בהעדר הצדדים.</w:t>
      </w:r>
    </w:p>
    <w:p w:rsidR="00694556" w:rsidRDefault="00DD5562" w:rsidP="00705041">
      <w:pPr>
        <w:spacing w:line="360" w:lineRule="auto"/>
        <w:ind w:left="5760" w:firstLine="720"/>
        <w:jc w:val="both"/>
      </w:pPr>
      <w:sdt>
        <w:sdtPr>
          <w:rPr>
            <w:rtl/>
          </w:rPr>
          <w:alias w:val="MergeField"/>
          <w:tag w:val="1237"/>
          <w:id w:val="1456523012"/>
        </w:sdtPr>
        <w:sdtEndPr/>
        <w:sdtContent>
          <w:r w:rsidR="00790CB9">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even" r:id="rId9"/>
      <w:headerReference w:type="default" r:id="rId10"/>
      <w:footerReference w:type="even" r:id="rId11"/>
      <w:footerReference w:type="default" r:id="rId12"/>
      <w:headerReference w:type="first" r:id="rId13"/>
      <w:footerReference w:type="first" r:id="rId14"/>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CB9" w:rsidRDefault="00790CB9">
      <w:r>
        <w:separator/>
      </w:r>
    </w:p>
  </w:endnote>
  <w:endnote w:type="continuationSeparator" w:id="0">
    <w:p w:rsidR="00790CB9" w:rsidRDefault="00790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562" w:rsidRDefault="00DD556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DD556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DD5562">
      <w:rPr>
        <w:rStyle w:val="ab"/>
        <w:rtl/>
      </w:rPr>
      <w:t>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562" w:rsidRDefault="00DD556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CB9" w:rsidRDefault="00790CB9">
      <w:r>
        <w:separator/>
      </w:r>
    </w:p>
  </w:footnote>
  <w:footnote w:type="continuationSeparator" w:id="0">
    <w:p w:rsidR="00790CB9" w:rsidRDefault="00790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562" w:rsidRDefault="00DD556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bookmarkStart w:id="0" w:name="_GoBack"/>
    <w:tr w:rsidR="00694556">
      <w:trPr>
        <w:trHeight w:val="337"/>
        <w:jc w:val="center"/>
      </w:trPr>
      <w:tc>
        <w:tcPr>
          <w:tcW w:w="8721" w:type="dxa"/>
          <w:gridSpan w:val="2"/>
        </w:tcPr>
        <w:p w:rsidR="00694556" w:rsidRDefault="00DD5562" w:rsidP="00705041">
          <w:pPr>
            <w:rPr>
              <w:rtl/>
            </w:rPr>
          </w:pPr>
          <w:sdt>
            <w:sdtPr>
              <w:rPr>
                <w:rtl/>
              </w:rPr>
              <w:alias w:val="1170"/>
              <w:tag w:val="1170"/>
              <w:id w:val="1456371299"/>
              <w:text w:multiLine="1"/>
            </w:sdtPr>
            <w:sdtEndPr/>
            <w:sdtContent>
              <w:r w:rsidR="0077250C">
                <w:rPr>
                  <w:b/>
                  <w:bCs/>
                  <w:noProof w:val="0"/>
                  <w:sz w:val="26"/>
                  <w:szCs w:val="26"/>
                  <w:rtl/>
                </w:rPr>
                <w:t>תה"ס</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71133-03-23</w:t>
              </w:r>
            </w:sdtContent>
          </w:sdt>
          <w:bookmarkEnd w:id="0"/>
          <w:r w:rsidR="00005C8B">
            <w:rPr>
              <w:b/>
              <w:bCs/>
              <w:noProof w:val="0"/>
              <w:sz w:val="26"/>
              <w:szCs w:val="26"/>
              <w:rtl/>
            </w:rPr>
            <w:t xml:space="preserve"> </w:t>
          </w:r>
          <w:r w:rsidR="00705041" w:rsidRPr="00705041">
            <w:rPr>
              <w:rFonts w:hint="cs"/>
              <w:b/>
              <w:bCs/>
              <w:rtl/>
            </w:rPr>
            <w:t>פלונית נ' פלוני</w:t>
          </w: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5562" w:rsidRDefault="00DD556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3C6F43"/>
    <w:multiLevelType w:val="hybridMultilevel"/>
    <w:tmpl w:val="DE4EE7EC"/>
    <w:lvl w:ilvl="0" w:tplc="F530BFCE">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1A0849"/>
    <w:multiLevelType w:val="hybridMultilevel"/>
    <w:tmpl w:val="CA0478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64A22C2"/>
    <w:multiLevelType w:val="hybridMultilevel"/>
    <w:tmpl w:val="105C1CB2"/>
    <w:lvl w:ilvl="0" w:tplc="A71C755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CF4E33"/>
    <w:multiLevelType w:val="hybridMultilevel"/>
    <w:tmpl w:val="126E6408"/>
    <w:lvl w:ilvl="0" w:tplc="094AB1DE">
      <w:start w:val="1"/>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6B"/>
    <w:rsid w:val="00005C8B"/>
    <w:rsid w:val="000564AB"/>
    <w:rsid w:val="00064FBD"/>
    <w:rsid w:val="00082AB2"/>
    <w:rsid w:val="00096AF7"/>
    <w:rsid w:val="000B344B"/>
    <w:rsid w:val="000B6583"/>
    <w:rsid w:val="000C3B0F"/>
    <w:rsid w:val="000E3AF1"/>
    <w:rsid w:val="000F0BC8"/>
    <w:rsid w:val="000F0DD6"/>
    <w:rsid w:val="00107E6D"/>
    <w:rsid w:val="0011194C"/>
    <w:rsid w:val="0011424C"/>
    <w:rsid w:val="001367BC"/>
    <w:rsid w:val="00144D2A"/>
    <w:rsid w:val="0014653E"/>
    <w:rsid w:val="0017157F"/>
    <w:rsid w:val="00180519"/>
    <w:rsid w:val="00182042"/>
    <w:rsid w:val="00191C82"/>
    <w:rsid w:val="001C4003"/>
    <w:rsid w:val="001D4DBF"/>
    <w:rsid w:val="002265FF"/>
    <w:rsid w:val="00262C95"/>
    <w:rsid w:val="002A0940"/>
    <w:rsid w:val="002B3F58"/>
    <w:rsid w:val="002C344E"/>
    <w:rsid w:val="00307A6A"/>
    <w:rsid w:val="00307C40"/>
    <w:rsid w:val="00320433"/>
    <w:rsid w:val="0033597A"/>
    <w:rsid w:val="00351393"/>
    <w:rsid w:val="00362612"/>
    <w:rsid w:val="0036743F"/>
    <w:rsid w:val="003715DD"/>
    <w:rsid w:val="003823E0"/>
    <w:rsid w:val="003A4521"/>
    <w:rsid w:val="003E139D"/>
    <w:rsid w:val="0040096C"/>
    <w:rsid w:val="00414F1F"/>
    <w:rsid w:val="0043125D"/>
    <w:rsid w:val="0043502B"/>
    <w:rsid w:val="004C4BDF"/>
    <w:rsid w:val="004D1187"/>
    <w:rsid w:val="004E1987"/>
    <w:rsid w:val="004E6E3C"/>
    <w:rsid w:val="005001B2"/>
    <w:rsid w:val="00520898"/>
    <w:rsid w:val="00524986"/>
    <w:rsid w:val="005268F6"/>
    <w:rsid w:val="00536548"/>
    <w:rsid w:val="00547DB7"/>
    <w:rsid w:val="005C0349"/>
    <w:rsid w:val="0061431B"/>
    <w:rsid w:val="00622BAA"/>
    <w:rsid w:val="006306CF"/>
    <w:rsid w:val="00660E2E"/>
    <w:rsid w:val="00671BD5"/>
    <w:rsid w:val="006805C1"/>
    <w:rsid w:val="006861C7"/>
    <w:rsid w:val="00686C21"/>
    <w:rsid w:val="006931C1"/>
    <w:rsid w:val="00694338"/>
    <w:rsid w:val="00694556"/>
    <w:rsid w:val="006D3B31"/>
    <w:rsid w:val="006E1A53"/>
    <w:rsid w:val="00704EDA"/>
    <w:rsid w:val="00705041"/>
    <w:rsid w:val="00721122"/>
    <w:rsid w:val="007267A3"/>
    <w:rsid w:val="00753019"/>
    <w:rsid w:val="0077250C"/>
    <w:rsid w:val="00790CB9"/>
    <w:rsid w:val="00795365"/>
    <w:rsid w:val="007E6115"/>
    <w:rsid w:val="007F4609"/>
    <w:rsid w:val="00801067"/>
    <w:rsid w:val="008176A1"/>
    <w:rsid w:val="00820005"/>
    <w:rsid w:val="00842301"/>
    <w:rsid w:val="00844318"/>
    <w:rsid w:val="00875D12"/>
    <w:rsid w:val="00896889"/>
    <w:rsid w:val="008C5714"/>
    <w:rsid w:val="008D10B2"/>
    <w:rsid w:val="00903896"/>
    <w:rsid w:val="00906F3D"/>
    <w:rsid w:val="00967DFF"/>
    <w:rsid w:val="00994341"/>
    <w:rsid w:val="009B47E7"/>
    <w:rsid w:val="009F323C"/>
    <w:rsid w:val="00A31AB2"/>
    <w:rsid w:val="00A3392B"/>
    <w:rsid w:val="00A54D07"/>
    <w:rsid w:val="00A94B64"/>
    <w:rsid w:val="00AA3229"/>
    <w:rsid w:val="00AA747B"/>
    <w:rsid w:val="00AA7596"/>
    <w:rsid w:val="00AC3B7B"/>
    <w:rsid w:val="00AC5209"/>
    <w:rsid w:val="00AE7752"/>
    <w:rsid w:val="00AF7FDA"/>
    <w:rsid w:val="00B80CBD"/>
    <w:rsid w:val="00B86096"/>
    <w:rsid w:val="00B8657D"/>
    <w:rsid w:val="00BA517C"/>
    <w:rsid w:val="00BB3D05"/>
    <w:rsid w:val="00BB73BE"/>
    <w:rsid w:val="00BF1908"/>
    <w:rsid w:val="00C22D93"/>
    <w:rsid w:val="00C34482"/>
    <w:rsid w:val="00C50A9F"/>
    <w:rsid w:val="00C54C88"/>
    <w:rsid w:val="00C642FA"/>
    <w:rsid w:val="00CC7622"/>
    <w:rsid w:val="00D16D92"/>
    <w:rsid w:val="00D220F3"/>
    <w:rsid w:val="00D27982"/>
    <w:rsid w:val="00D33B86"/>
    <w:rsid w:val="00D53924"/>
    <w:rsid w:val="00D55D0C"/>
    <w:rsid w:val="00D96D8C"/>
    <w:rsid w:val="00DA6649"/>
    <w:rsid w:val="00DB2844"/>
    <w:rsid w:val="00DC2571"/>
    <w:rsid w:val="00DC487C"/>
    <w:rsid w:val="00DD5562"/>
    <w:rsid w:val="00E25884"/>
    <w:rsid w:val="00E5426A"/>
    <w:rsid w:val="00E542C7"/>
    <w:rsid w:val="00E54642"/>
    <w:rsid w:val="00EC37E9"/>
    <w:rsid w:val="00F02A29"/>
    <w:rsid w:val="00F13623"/>
    <w:rsid w:val="00F42E2F"/>
    <w:rsid w:val="00F84B6D"/>
    <w:rsid w:val="00FA1A00"/>
    <w:rsid w:val="00FA5FDA"/>
    <w:rsid w:val="00FC5D6F"/>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9439856-E5D4-4549-9D45-0ECB7D04D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3513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1167</Words>
  <Characters>5838</Characters>
  <Application>Microsoft Office Word</Application>
  <DocSecurity>4</DocSecurity>
  <Lines>48</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אטל אזרואל</cp:lastModifiedBy>
  <cp:revision>2</cp:revision>
  <dcterms:created xsi:type="dcterms:W3CDTF">2023-08-09T09:30:00Z</dcterms:created>
  <dcterms:modified xsi:type="dcterms:W3CDTF">2023-08-09T09:30:00Z</dcterms:modified>
</cp:coreProperties>
</file>